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564" w:rsidRPr="00F84564" w:rsidRDefault="00247312" w:rsidP="00386512">
      <w:pPr>
        <w:pStyle w:val="NormalWeb"/>
        <w:spacing w:before="60" w:beforeAutospacing="0" w:after="60" w:afterAutospacing="0" w:line="300" w:lineRule="exact"/>
        <w:jc w:val="center"/>
        <w:rPr>
          <w:rFonts w:ascii="Calibri" w:hAnsi="Calibri" w:cs="Frutiger-Light"/>
          <w:b/>
          <w:color w:val="auto"/>
          <w:sz w:val="34"/>
        </w:rPr>
      </w:pPr>
      <w:r w:rsidRPr="00F84564">
        <w:rPr>
          <w:rFonts w:ascii="Calibri" w:hAnsi="Calibri" w:cs="Frutiger-Light"/>
          <w:b/>
          <w:color w:val="auto"/>
          <w:sz w:val="34"/>
        </w:rPr>
        <w:t xml:space="preserve">Submission </w:t>
      </w:r>
      <w:r>
        <w:rPr>
          <w:rFonts w:ascii="Calibri" w:hAnsi="Calibri" w:cs="Frutiger-Light"/>
          <w:b/>
          <w:color w:val="auto"/>
          <w:sz w:val="34"/>
        </w:rPr>
        <w:t>t</w:t>
      </w:r>
      <w:r w:rsidRPr="00F84564">
        <w:rPr>
          <w:rFonts w:ascii="Calibri" w:hAnsi="Calibri" w:cs="Frutiger-Light"/>
          <w:b/>
          <w:color w:val="auto"/>
          <w:sz w:val="34"/>
        </w:rPr>
        <w:t xml:space="preserve">o </w:t>
      </w:r>
      <w:r>
        <w:rPr>
          <w:rFonts w:ascii="Calibri" w:hAnsi="Calibri" w:cs="Frutiger-Light"/>
          <w:b/>
          <w:color w:val="auto"/>
          <w:sz w:val="34"/>
        </w:rPr>
        <w:t>t</w:t>
      </w:r>
      <w:r w:rsidRPr="00F84564">
        <w:rPr>
          <w:rFonts w:ascii="Calibri" w:hAnsi="Calibri" w:cs="Frutiger-Light"/>
          <w:b/>
          <w:color w:val="auto"/>
          <w:sz w:val="34"/>
        </w:rPr>
        <w:t xml:space="preserve">he Justice </w:t>
      </w:r>
      <w:r>
        <w:rPr>
          <w:rFonts w:ascii="Calibri" w:hAnsi="Calibri" w:cs="Frutiger-Light"/>
          <w:b/>
          <w:color w:val="auto"/>
          <w:sz w:val="34"/>
        </w:rPr>
        <w:t>a</w:t>
      </w:r>
      <w:r w:rsidRPr="00F84564">
        <w:rPr>
          <w:rFonts w:ascii="Calibri" w:hAnsi="Calibri" w:cs="Frutiger-Light"/>
          <w:b/>
          <w:color w:val="auto"/>
          <w:sz w:val="34"/>
        </w:rPr>
        <w:t xml:space="preserve">nd Electoral Select Committee </w:t>
      </w:r>
      <w:r>
        <w:rPr>
          <w:rFonts w:ascii="Calibri" w:hAnsi="Calibri" w:cs="Frutiger-Light"/>
          <w:b/>
          <w:color w:val="auto"/>
          <w:sz w:val="34"/>
        </w:rPr>
        <w:t>o</w:t>
      </w:r>
      <w:r w:rsidRPr="00F84564">
        <w:rPr>
          <w:rFonts w:ascii="Calibri" w:hAnsi="Calibri" w:cs="Frutiger-Light"/>
          <w:b/>
          <w:color w:val="auto"/>
          <w:sz w:val="34"/>
        </w:rPr>
        <w:t>n</w:t>
      </w:r>
    </w:p>
    <w:p w:rsidR="00F84564" w:rsidRPr="00386512" w:rsidRDefault="00247312" w:rsidP="00386512">
      <w:pPr>
        <w:pStyle w:val="NormalWeb"/>
        <w:spacing w:before="60" w:beforeAutospacing="0" w:after="60" w:afterAutospacing="0" w:line="300" w:lineRule="exact"/>
        <w:jc w:val="center"/>
        <w:rPr>
          <w:rFonts w:ascii="Calibri" w:hAnsi="Calibri" w:cs="Frutiger-Light"/>
          <w:b/>
          <w:color w:val="auto"/>
          <w:sz w:val="32"/>
        </w:rPr>
      </w:pPr>
      <w:r w:rsidRPr="00386512">
        <w:rPr>
          <w:rFonts w:ascii="Calibri" w:hAnsi="Calibri" w:cs="Frutiger-Light"/>
          <w:b/>
          <w:color w:val="auto"/>
          <w:sz w:val="32"/>
        </w:rPr>
        <w:t>The Sale and Supply of Alcohol (Extended licensing hours during Rugby World Cup) Bill</w:t>
      </w:r>
    </w:p>
    <w:tbl>
      <w:tblPr>
        <w:tblStyle w:val="TableGrid"/>
        <w:tblW w:w="0" w:type="auto"/>
        <w:tblLook w:val="04A0"/>
      </w:tblPr>
      <w:tblGrid>
        <w:gridCol w:w="9572"/>
      </w:tblGrid>
      <w:tr w:rsidR="0004595C" w:rsidRPr="00026159" w:rsidTr="0004595C">
        <w:tc>
          <w:tcPr>
            <w:tcW w:w="9572" w:type="dxa"/>
          </w:tcPr>
          <w:p w:rsidR="0004595C" w:rsidRPr="00026159" w:rsidRDefault="0004595C" w:rsidP="0004595C">
            <w:pPr>
              <w:shd w:val="clear" w:color="auto" w:fill="FFFFFF"/>
              <w:rPr>
                <w:rFonts w:ascii="Calibri" w:eastAsia="Times New Roman" w:hAnsi="Calibri" w:cs="Times New Roman"/>
                <w:bCs/>
                <w:sz w:val="23"/>
                <w:szCs w:val="23"/>
                <w:lang w:eastAsia="en-NZ"/>
              </w:rPr>
            </w:pPr>
            <w:r w:rsidRPr="00026159">
              <w:rPr>
                <w:rFonts w:ascii="Calibri" w:eastAsia="Times New Roman" w:hAnsi="Calibri" w:cs="Times New Roman"/>
                <w:bCs/>
                <w:sz w:val="23"/>
                <w:szCs w:val="23"/>
                <w:lang w:eastAsia="en-NZ"/>
              </w:rPr>
              <w:t>To</w:t>
            </w:r>
            <w:r w:rsidRPr="00026159">
              <w:rPr>
                <w:rFonts w:ascii="Calibri" w:eastAsia="Times New Roman" w:hAnsi="Calibri" w:cs="Times New Roman"/>
                <w:bCs/>
                <w:sz w:val="23"/>
                <w:szCs w:val="23"/>
                <w:lang w:eastAsia="en-NZ"/>
              </w:rPr>
              <w:tab/>
            </w:r>
            <w:r w:rsidRPr="00026159">
              <w:rPr>
                <w:rFonts w:ascii="Calibri" w:eastAsia="Times New Roman" w:hAnsi="Calibri" w:cs="Times New Roman"/>
                <w:bCs/>
                <w:sz w:val="23"/>
                <w:szCs w:val="23"/>
                <w:lang w:eastAsia="en-NZ"/>
              </w:rPr>
              <w:tab/>
            </w:r>
            <w:r w:rsidRPr="00026159">
              <w:rPr>
                <w:rFonts w:ascii="Calibri" w:eastAsia="Times New Roman" w:hAnsi="Calibri" w:cs="Times New Roman"/>
                <w:bCs/>
                <w:sz w:val="23"/>
                <w:szCs w:val="23"/>
                <w:lang w:eastAsia="en-NZ"/>
              </w:rPr>
              <w:tab/>
            </w:r>
            <w:r w:rsidRPr="00026159">
              <w:rPr>
                <w:rFonts w:ascii="Calibri" w:eastAsia="Times New Roman" w:hAnsi="Calibri" w:cs="Times New Roman"/>
                <w:bCs/>
                <w:sz w:val="23"/>
                <w:szCs w:val="23"/>
                <w:lang w:eastAsia="en-NZ"/>
              </w:rPr>
              <w:tab/>
            </w:r>
            <w:r w:rsidRPr="00026159">
              <w:rPr>
                <w:rFonts w:ascii="Calibri" w:eastAsia="Times New Roman" w:hAnsi="Calibri" w:cs="Times New Roman"/>
                <w:bCs/>
                <w:sz w:val="23"/>
                <w:szCs w:val="23"/>
                <w:lang w:eastAsia="en-NZ"/>
              </w:rPr>
              <w:tab/>
            </w:r>
            <w:r w:rsidRPr="00026159">
              <w:rPr>
                <w:rFonts w:ascii="Calibri" w:eastAsia="Times New Roman" w:hAnsi="Calibri" w:cs="Times New Roman"/>
                <w:bCs/>
                <w:sz w:val="23"/>
                <w:szCs w:val="23"/>
                <w:lang w:eastAsia="en-NZ"/>
              </w:rPr>
              <w:tab/>
            </w:r>
            <w:r w:rsidRPr="00026159">
              <w:rPr>
                <w:rFonts w:ascii="Calibri" w:eastAsia="Times New Roman" w:hAnsi="Calibri" w:cs="Times New Roman"/>
                <w:bCs/>
                <w:sz w:val="23"/>
                <w:szCs w:val="23"/>
                <w:lang w:eastAsia="en-NZ"/>
              </w:rPr>
              <w:tab/>
            </w:r>
            <w:r w:rsidRPr="00026159">
              <w:rPr>
                <w:rFonts w:ascii="Calibri" w:eastAsia="Times New Roman" w:hAnsi="Calibri" w:cs="Times New Roman"/>
                <w:bCs/>
                <w:sz w:val="23"/>
                <w:szCs w:val="23"/>
                <w:lang w:eastAsia="en-NZ"/>
              </w:rPr>
              <w:tab/>
            </w:r>
            <w:r w:rsidRPr="00026159">
              <w:rPr>
                <w:rFonts w:ascii="Calibri" w:eastAsia="Times New Roman" w:hAnsi="Calibri" w:cs="Times New Roman"/>
                <w:bCs/>
                <w:sz w:val="23"/>
                <w:szCs w:val="23"/>
                <w:lang w:eastAsia="en-NZ"/>
              </w:rPr>
              <w:tab/>
            </w:r>
            <w:r w:rsidRPr="00026159">
              <w:rPr>
                <w:rFonts w:ascii="Calibri" w:eastAsia="Times New Roman" w:hAnsi="Calibri" w:cs="Times New Roman"/>
                <w:bCs/>
                <w:sz w:val="23"/>
                <w:szCs w:val="23"/>
                <w:lang w:eastAsia="en-NZ"/>
              </w:rPr>
              <w:tab/>
              <w:t xml:space="preserve">Date: </w:t>
            </w:r>
          </w:p>
          <w:p w:rsidR="0004595C" w:rsidRPr="00026159" w:rsidRDefault="0004595C" w:rsidP="0004595C">
            <w:pPr>
              <w:shd w:val="clear" w:color="auto" w:fill="FFFFFF"/>
              <w:rPr>
                <w:rFonts w:ascii="Calibri" w:eastAsia="Times New Roman" w:hAnsi="Calibri" w:cs="Times New Roman"/>
                <w:bCs/>
                <w:sz w:val="23"/>
                <w:szCs w:val="23"/>
                <w:lang w:eastAsia="en-NZ"/>
              </w:rPr>
            </w:pPr>
            <w:r w:rsidRPr="00026159">
              <w:rPr>
                <w:rFonts w:ascii="Calibri" w:eastAsia="Times New Roman" w:hAnsi="Calibri" w:cs="Times New Roman"/>
                <w:bCs/>
                <w:sz w:val="23"/>
                <w:szCs w:val="23"/>
                <w:lang w:eastAsia="en-NZ"/>
              </w:rPr>
              <w:t>Secretariat of Justice and Electoral Committee</w:t>
            </w:r>
            <w:r w:rsidRPr="00026159">
              <w:rPr>
                <w:rFonts w:ascii="Calibri" w:eastAsia="Times New Roman" w:hAnsi="Calibri" w:cs="Times New Roman"/>
                <w:bCs/>
                <w:sz w:val="23"/>
                <w:szCs w:val="23"/>
                <w:lang w:eastAsia="en-NZ"/>
              </w:rPr>
              <w:br/>
              <w:t>Parliament Buildings</w:t>
            </w:r>
            <w:r w:rsidRPr="00026159">
              <w:rPr>
                <w:rFonts w:ascii="Calibri" w:eastAsia="Times New Roman" w:hAnsi="Calibri" w:cs="Times New Roman"/>
                <w:bCs/>
                <w:sz w:val="23"/>
                <w:szCs w:val="23"/>
                <w:lang w:eastAsia="en-NZ"/>
              </w:rPr>
              <w:br/>
              <w:t>Wellington</w:t>
            </w:r>
          </w:p>
          <w:p w:rsidR="0004595C" w:rsidRPr="00026159" w:rsidRDefault="0005495D" w:rsidP="0005495D">
            <w:pPr>
              <w:shd w:val="clear" w:color="auto" w:fill="FFFFFF"/>
              <w:rPr>
                <w:rFonts w:ascii="Calibri" w:eastAsia="Times New Roman" w:hAnsi="Calibri" w:cs="Times New Roman"/>
                <w:sz w:val="23"/>
                <w:szCs w:val="23"/>
                <w:lang w:eastAsia="en-NZ"/>
              </w:rPr>
            </w:pPr>
            <w:r w:rsidRPr="00026159">
              <w:rPr>
                <w:rFonts w:ascii="Calibri" w:eastAsia="Times New Roman" w:hAnsi="Calibri" w:cs="Times New Roman"/>
                <w:sz w:val="23"/>
                <w:szCs w:val="23"/>
                <w:lang w:eastAsia="en-NZ"/>
              </w:rPr>
              <w:t xml:space="preserve">Email: </w:t>
            </w:r>
            <w:hyperlink r:id="rId8" w:history="1">
              <w:r w:rsidRPr="00026159">
                <w:rPr>
                  <w:rStyle w:val="Hyperlink"/>
                  <w:rFonts w:ascii="Calibri" w:eastAsia="Times New Roman" w:hAnsi="Calibri" w:cs="Times New Roman"/>
                  <w:sz w:val="23"/>
                  <w:szCs w:val="23"/>
                  <w:lang w:eastAsia="en-NZ"/>
                </w:rPr>
                <w:t>select.committees@parliament.govt.nz</w:t>
              </w:r>
            </w:hyperlink>
            <w:r w:rsidRPr="00026159">
              <w:rPr>
                <w:rFonts w:ascii="Calibri" w:eastAsia="Times New Roman" w:hAnsi="Calibri" w:cs="Times New Roman"/>
                <w:sz w:val="23"/>
                <w:szCs w:val="23"/>
                <w:lang w:eastAsia="en-NZ"/>
              </w:rPr>
              <w:t xml:space="preserve">           Fax: </w:t>
            </w:r>
            <w:r w:rsidR="006A08F9" w:rsidRPr="00026159">
              <w:rPr>
                <w:rFonts w:ascii="Calibri" w:eastAsia="Times New Roman" w:hAnsi="Calibri" w:cs="Times New Roman"/>
                <w:sz w:val="23"/>
                <w:szCs w:val="23"/>
                <w:lang w:eastAsia="en-NZ"/>
              </w:rPr>
              <w:t>04</w:t>
            </w:r>
            <w:r w:rsidRPr="00026159">
              <w:rPr>
                <w:rFonts w:ascii="Calibri" w:eastAsia="Times New Roman" w:hAnsi="Calibri" w:cs="Times New Roman"/>
                <w:sz w:val="23"/>
                <w:szCs w:val="23"/>
                <w:lang w:eastAsia="en-NZ"/>
              </w:rPr>
              <w:t xml:space="preserve"> 499 0486.</w:t>
            </w:r>
          </w:p>
          <w:p w:rsidR="0005495D" w:rsidRPr="00026159" w:rsidRDefault="0005495D" w:rsidP="0005495D">
            <w:pPr>
              <w:shd w:val="clear" w:color="auto" w:fill="FFFFFF"/>
              <w:rPr>
                <w:rFonts w:ascii="Calibri" w:eastAsia="Times New Roman" w:hAnsi="Calibri" w:cs="Times New Roman"/>
                <w:sz w:val="23"/>
                <w:szCs w:val="23"/>
                <w:lang w:eastAsia="en-NZ"/>
              </w:rPr>
            </w:pPr>
          </w:p>
          <w:p w:rsidR="0004595C" w:rsidRPr="00026159" w:rsidRDefault="0004595C" w:rsidP="0004595C">
            <w:pPr>
              <w:shd w:val="clear" w:color="auto" w:fill="FFFFFF"/>
              <w:rPr>
                <w:rFonts w:ascii="Calibri" w:eastAsia="Times New Roman" w:hAnsi="Calibri" w:cs="Times New Roman"/>
                <w:b/>
                <w:sz w:val="23"/>
                <w:szCs w:val="23"/>
                <w:lang w:eastAsia="en-NZ"/>
              </w:rPr>
            </w:pPr>
            <w:r w:rsidRPr="00026159">
              <w:rPr>
                <w:rFonts w:ascii="Calibri" w:eastAsia="Times New Roman" w:hAnsi="Calibri" w:cs="Times New Roman"/>
                <w:b/>
                <w:sz w:val="23"/>
                <w:szCs w:val="23"/>
                <w:lang w:eastAsia="en-NZ"/>
              </w:rPr>
              <w:t>This submission is from:</w:t>
            </w:r>
          </w:p>
          <w:p w:rsidR="0004595C" w:rsidRPr="00026159" w:rsidRDefault="0004595C" w:rsidP="0004595C">
            <w:pPr>
              <w:shd w:val="clear" w:color="auto" w:fill="FFFFFF"/>
              <w:rPr>
                <w:rFonts w:ascii="Calibri" w:eastAsia="Times New Roman" w:hAnsi="Calibri" w:cs="Times New Roman"/>
                <w:sz w:val="23"/>
                <w:szCs w:val="23"/>
                <w:lang w:eastAsia="en-NZ"/>
              </w:rPr>
            </w:pPr>
            <w:r w:rsidRPr="00026159">
              <w:rPr>
                <w:rFonts w:ascii="Calibri" w:eastAsia="Times New Roman" w:hAnsi="Calibri" w:cs="Times New Roman"/>
                <w:sz w:val="23"/>
                <w:szCs w:val="23"/>
                <w:lang w:eastAsia="en-NZ"/>
              </w:rPr>
              <w:t>Name</w:t>
            </w:r>
            <w:r w:rsidR="00104F23" w:rsidRPr="00026159">
              <w:rPr>
                <w:rFonts w:ascii="Calibri" w:eastAsia="Times New Roman" w:hAnsi="Calibri" w:cs="Times New Roman"/>
                <w:sz w:val="23"/>
                <w:szCs w:val="23"/>
                <w:lang w:eastAsia="en-NZ"/>
              </w:rPr>
              <w:t>/s</w:t>
            </w:r>
            <w:r w:rsidRPr="00026159">
              <w:rPr>
                <w:rFonts w:ascii="Calibri" w:eastAsia="Times New Roman" w:hAnsi="Calibri" w:cs="Times New Roman"/>
                <w:sz w:val="23"/>
                <w:szCs w:val="23"/>
                <w:lang w:eastAsia="en-NZ"/>
              </w:rPr>
              <w:t>:</w:t>
            </w:r>
          </w:p>
          <w:p w:rsidR="0004595C" w:rsidRPr="00026159" w:rsidRDefault="0004595C" w:rsidP="0004595C">
            <w:pPr>
              <w:shd w:val="clear" w:color="auto" w:fill="FFFFFF"/>
              <w:rPr>
                <w:rFonts w:ascii="Calibri" w:eastAsia="Times New Roman" w:hAnsi="Calibri" w:cs="Times New Roman"/>
                <w:sz w:val="23"/>
                <w:szCs w:val="23"/>
                <w:lang w:eastAsia="en-NZ"/>
              </w:rPr>
            </w:pPr>
            <w:r w:rsidRPr="00026159">
              <w:rPr>
                <w:rFonts w:ascii="Calibri" w:eastAsia="Times New Roman" w:hAnsi="Calibri" w:cs="Times New Roman"/>
                <w:sz w:val="23"/>
                <w:szCs w:val="23"/>
                <w:lang w:eastAsia="en-NZ"/>
              </w:rPr>
              <w:t>Address:</w:t>
            </w:r>
          </w:p>
          <w:p w:rsidR="0004595C" w:rsidRPr="00026159" w:rsidRDefault="0004595C" w:rsidP="0004595C">
            <w:pPr>
              <w:shd w:val="clear" w:color="auto" w:fill="FFFFFF"/>
              <w:rPr>
                <w:rFonts w:ascii="Calibri" w:eastAsia="Times New Roman" w:hAnsi="Calibri" w:cs="Times New Roman"/>
                <w:sz w:val="23"/>
                <w:szCs w:val="23"/>
                <w:lang w:eastAsia="en-NZ"/>
              </w:rPr>
            </w:pPr>
            <w:r w:rsidRPr="00026159">
              <w:rPr>
                <w:rFonts w:ascii="Calibri" w:eastAsia="Times New Roman" w:hAnsi="Calibri" w:cs="Times New Roman"/>
                <w:sz w:val="23"/>
                <w:szCs w:val="23"/>
                <w:lang w:eastAsia="en-NZ"/>
              </w:rPr>
              <w:t>Ph:</w:t>
            </w:r>
          </w:p>
          <w:p w:rsidR="0004595C" w:rsidRPr="00026159" w:rsidRDefault="0004595C" w:rsidP="00026159">
            <w:pPr>
              <w:shd w:val="clear" w:color="auto" w:fill="FFFFFF"/>
              <w:rPr>
                <w:rFonts w:ascii="Calibri" w:hAnsi="Calibri" w:cs="Frutiger-Light"/>
                <w:b/>
                <w:sz w:val="23"/>
                <w:szCs w:val="23"/>
              </w:rPr>
            </w:pPr>
            <w:r w:rsidRPr="00026159">
              <w:rPr>
                <w:rFonts w:eastAsia="Times New Roman" w:cs="Times New Roman"/>
                <w:sz w:val="23"/>
                <w:szCs w:val="23"/>
                <w:lang w:eastAsia="en-NZ"/>
              </w:rPr>
              <w:t>Email:</w:t>
            </w:r>
          </w:p>
        </w:tc>
      </w:tr>
    </w:tbl>
    <w:p w:rsidR="00104F23" w:rsidRPr="00026159" w:rsidRDefault="00104F23" w:rsidP="00104F23">
      <w:pPr>
        <w:pStyle w:val="NormalWeb"/>
        <w:spacing w:before="60" w:beforeAutospacing="0" w:after="60" w:afterAutospacing="0" w:line="160" w:lineRule="exact"/>
        <w:rPr>
          <w:rFonts w:ascii="Calibri" w:hAnsi="Calibri" w:cs="Frutiger-Light"/>
          <w:b/>
          <w:color w:val="auto"/>
          <w:sz w:val="23"/>
          <w:szCs w:val="23"/>
        </w:rPr>
      </w:pPr>
    </w:p>
    <w:p w:rsidR="00F84564" w:rsidRPr="00026159" w:rsidRDefault="00F84564" w:rsidP="00026159">
      <w:pPr>
        <w:pStyle w:val="NormalWeb"/>
        <w:spacing w:before="0" w:beforeAutospacing="0" w:after="200" w:afterAutospacing="0" w:line="276" w:lineRule="auto"/>
        <w:rPr>
          <w:rFonts w:eastAsia="PMingLiU" w:cs="Frutiger-Light"/>
          <w:sz w:val="23"/>
          <w:szCs w:val="23"/>
        </w:rPr>
      </w:pPr>
      <w:r w:rsidRPr="00026159">
        <w:rPr>
          <w:rFonts w:ascii="Calibri" w:hAnsi="Calibri" w:cs="Frutiger-Light"/>
          <w:b/>
          <w:color w:val="auto"/>
          <w:sz w:val="23"/>
          <w:szCs w:val="23"/>
        </w:rPr>
        <w:t xml:space="preserve">Submission: </w:t>
      </w:r>
    </w:p>
    <w:p w:rsidR="003C39AC" w:rsidRPr="00026159" w:rsidRDefault="0050753F" w:rsidP="00026159">
      <w:pPr>
        <w:jc w:val="both"/>
        <w:rPr>
          <w:rFonts w:eastAsia="PMingLiU" w:cs="Frutiger-Light"/>
          <w:sz w:val="23"/>
          <w:szCs w:val="23"/>
        </w:rPr>
      </w:pPr>
      <w:r w:rsidRPr="00026159">
        <w:rPr>
          <w:rFonts w:eastAsia="PMingLiU" w:cs="Frutiger-Light"/>
          <w:b/>
          <w:sz w:val="23"/>
          <w:szCs w:val="23"/>
        </w:rPr>
        <w:t>I/We</w:t>
      </w:r>
      <w:r w:rsidRPr="00026159">
        <w:rPr>
          <w:rFonts w:eastAsia="PMingLiU" w:cs="Frutiger-Light"/>
          <w:sz w:val="23"/>
          <w:szCs w:val="23"/>
        </w:rPr>
        <w:t xml:space="preserve"> </w:t>
      </w:r>
      <w:r w:rsidRPr="00026159">
        <w:rPr>
          <w:rFonts w:eastAsia="PMingLiU" w:cs="Frutiger-Light"/>
          <w:b/>
          <w:sz w:val="23"/>
          <w:szCs w:val="23"/>
        </w:rPr>
        <w:t>DO NOT</w:t>
      </w:r>
      <w:r w:rsidRPr="00026159">
        <w:rPr>
          <w:rFonts w:eastAsia="PMingLiU" w:cs="Frutiger-Light"/>
          <w:sz w:val="23"/>
          <w:szCs w:val="23"/>
        </w:rPr>
        <w:t xml:space="preserve"> support the </w:t>
      </w:r>
      <w:r w:rsidR="00314F74" w:rsidRPr="00026159">
        <w:rPr>
          <w:rFonts w:eastAsia="PMingLiU" w:cs="Frutiger-Light"/>
          <w:sz w:val="23"/>
          <w:szCs w:val="23"/>
        </w:rPr>
        <w:t xml:space="preserve">proposed Bill which will allow </w:t>
      </w:r>
      <w:r w:rsidR="00D436AA" w:rsidRPr="00026159">
        <w:rPr>
          <w:rFonts w:eastAsia="PMingLiU" w:cs="Frutiger-Light"/>
          <w:sz w:val="23"/>
          <w:szCs w:val="23"/>
        </w:rPr>
        <w:t>extended licensing hours</w:t>
      </w:r>
      <w:r w:rsidR="00C36BB2" w:rsidRPr="00026159">
        <w:rPr>
          <w:rFonts w:eastAsia="PMingLiU" w:cs="Frutiger-Light"/>
          <w:sz w:val="23"/>
          <w:szCs w:val="23"/>
        </w:rPr>
        <w:t>,</w:t>
      </w:r>
      <w:r w:rsidR="00D436AA" w:rsidRPr="00026159">
        <w:rPr>
          <w:rFonts w:eastAsia="PMingLiU" w:cs="Frutiger-Light"/>
          <w:sz w:val="23"/>
          <w:szCs w:val="23"/>
        </w:rPr>
        <w:t xml:space="preserve"> </w:t>
      </w:r>
      <w:r w:rsidR="007C2987" w:rsidRPr="00026159">
        <w:rPr>
          <w:rFonts w:eastAsia="PMingLiU" w:cs="Frutiger-Light"/>
          <w:sz w:val="23"/>
          <w:szCs w:val="23"/>
        </w:rPr>
        <w:t>beyond those already permitted</w:t>
      </w:r>
      <w:r w:rsidR="00C36BB2" w:rsidRPr="00026159">
        <w:rPr>
          <w:rFonts w:eastAsia="PMingLiU" w:cs="Frutiger-Light"/>
          <w:sz w:val="23"/>
          <w:szCs w:val="23"/>
        </w:rPr>
        <w:t>,</w:t>
      </w:r>
      <w:r w:rsidR="007C2987" w:rsidRPr="00026159">
        <w:rPr>
          <w:rFonts w:eastAsia="PMingLiU" w:cs="Frutiger-Light"/>
          <w:sz w:val="23"/>
          <w:szCs w:val="23"/>
        </w:rPr>
        <w:t xml:space="preserve"> </w:t>
      </w:r>
      <w:r w:rsidR="00D436AA" w:rsidRPr="00026159">
        <w:rPr>
          <w:rFonts w:eastAsia="PMingLiU" w:cs="Frutiger-Light"/>
          <w:sz w:val="23"/>
          <w:szCs w:val="23"/>
        </w:rPr>
        <w:t>during the period of the 2015 Rugby World Cup.</w:t>
      </w:r>
      <w:r w:rsidR="0078083B">
        <w:rPr>
          <w:rFonts w:eastAsia="PMingLiU" w:cs="Frutiger-Light"/>
          <w:sz w:val="23"/>
          <w:szCs w:val="23"/>
        </w:rPr>
        <w:t xml:space="preserve"> </w:t>
      </w:r>
    </w:p>
    <w:p w:rsidR="0050753F" w:rsidRPr="00026159" w:rsidRDefault="0050753F" w:rsidP="00026159">
      <w:pPr>
        <w:jc w:val="both"/>
        <w:rPr>
          <w:rFonts w:eastAsia="PMingLiU" w:cs="Frutiger-Light"/>
          <w:sz w:val="23"/>
          <w:szCs w:val="23"/>
        </w:rPr>
      </w:pPr>
      <w:r w:rsidRPr="00026159">
        <w:rPr>
          <w:rFonts w:eastAsia="PMingLiU" w:cs="Frutiger-Light"/>
          <w:b/>
          <w:sz w:val="23"/>
          <w:szCs w:val="23"/>
        </w:rPr>
        <w:t>I/W</w:t>
      </w:r>
      <w:r w:rsidR="00D436AA" w:rsidRPr="00026159">
        <w:rPr>
          <w:rFonts w:eastAsia="PMingLiU" w:cs="Frutiger-Light"/>
          <w:b/>
          <w:sz w:val="23"/>
          <w:szCs w:val="23"/>
        </w:rPr>
        <w:t>e believe</w:t>
      </w:r>
      <w:r w:rsidR="00D436AA" w:rsidRPr="00026159">
        <w:rPr>
          <w:rFonts w:eastAsia="PMingLiU" w:cs="Frutiger-Light"/>
          <w:sz w:val="23"/>
          <w:szCs w:val="23"/>
        </w:rPr>
        <w:t xml:space="preserve"> the proposed Bill</w:t>
      </w:r>
      <w:r w:rsidR="00494FA2" w:rsidRPr="00026159">
        <w:rPr>
          <w:rFonts w:eastAsia="PMingLiU" w:cs="Frutiger-Light"/>
          <w:sz w:val="23"/>
          <w:szCs w:val="23"/>
        </w:rPr>
        <w:t xml:space="preserve"> </w:t>
      </w:r>
      <w:r w:rsidR="00494FA2" w:rsidRPr="00026159">
        <w:rPr>
          <w:rFonts w:eastAsia="PMingLiU" w:cs="Frutiger-Light"/>
          <w:b/>
          <w:sz w:val="23"/>
          <w:szCs w:val="23"/>
        </w:rPr>
        <w:t xml:space="preserve">undermines the Object </w:t>
      </w:r>
      <w:r w:rsidR="00D436AA" w:rsidRPr="00026159">
        <w:rPr>
          <w:rFonts w:eastAsia="PMingLiU" w:cs="Frutiger-Light"/>
          <w:b/>
          <w:sz w:val="23"/>
          <w:szCs w:val="23"/>
        </w:rPr>
        <w:t>of the Sale and Supply of Alcohol Act 2012</w:t>
      </w:r>
      <w:r w:rsidR="00247312" w:rsidRPr="00026159">
        <w:rPr>
          <w:rFonts w:eastAsia="PMingLiU" w:cs="Frutiger-Light"/>
          <w:sz w:val="23"/>
          <w:szCs w:val="23"/>
        </w:rPr>
        <w:t>.</w:t>
      </w:r>
    </w:p>
    <w:p w:rsidR="00F21514" w:rsidRPr="00026159" w:rsidRDefault="0050753F" w:rsidP="00026159">
      <w:pPr>
        <w:jc w:val="both"/>
        <w:rPr>
          <w:rFonts w:eastAsia="PMingLiU" w:cs="Frutiger-Light"/>
          <w:sz w:val="23"/>
          <w:szCs w:val="23"/>
        </w:rPr>
      </w:pPr>
      <w:r w:rsidRPr="00026159">
        <w:rPr>
          <w:rFonts w:eastAsia="PMingLiU" w:cs="Frutiger-Light"/>
          <w:sz w:val="23"/>
          <w:szCs w:val="23"/>
        </w:rPr>
        <w:t xml:space="preserve">The </w:t>
      </w:r>
      <w:r w:rsidR="00494FA2" w:rsidRPr="00026159">
        <w:rPr>
          <w:rFonts w:eastAsia="PMingLiU" w:cs="Frutiger-Light"/>
          <w:sz w:val="23"/>
          <w:szCs w:val="23"/>
        </w:rPr>
        <w:t xml:space="preserve">object of the </w:t>
      </w:r>
      <w:r w:rsidRPr="00026159">
        <w:rPr>
          <w:rFonts w:eastAsia="PMingLiU" w:cs="Frutiger-Light"/>
          <w:sz w:val="23"/>
          <w:szCs w:val="23"/>
        </w:rPr>
        <w:t xml:space="preserve">Sale and Supply of Alcohol Act 2012 requires </w:t>
      </w:r>
      <w:r w:rsidR="00D436AA" w:rsidRPr="00026159">
        <w:rPr>
          <w:rFonts w:eastAsia="PMingLiU" w:cs="Frutiger-Light"/>
          <w:sz w:val="23"/>
          <w:szCs w:val="23"/>
        </w:rPr>
        <w:t>alcohol-related harm</w:t>
      </w:r>
      <w:r w:rsidRPr="00026159">
        <w:rPr>
          <w:rFonts w:eastAsia="PMingLiU" w:cs="Frutiger-Light"/>
          <w:sz w:val="23"/>
          <w:szCs w:val="23"/>
        </w:rPr>
        <w:t xml:space="preserve"> to be minimised</w:t>
      </w:r>
      <w:r w:rsidR="00D436AA" w:rsidRPr="00026159">
        <w:rPr>
          <w:rFonts w:eastAsia="PMingLiU" w:cs="Frutiger-Light"/>
          <w:sz w:val="23"/>
          <w:szCs w:val="23"/>
        </w:rPr>
        <w:t>.</w:t>
      </w:r>
      <w:r w:rsidRPr="00026159">
        <w:rPr>
          <w:rFonts w:eastAsia="PMingLiU" w:cs="Frutiger-Light"/>
          <w:sz w:val="23"/>
          <w:szCs w:val="23"/>
        </w:rPr>
        <w:t xml:space="preserve">  Late night/early morning consumption of alcohol is linked with increased levels of intoxication and </w:t>
      </w:r>
      <w:r w:rsidR="00494FA2" w:rsidRPr="00026159">
        <w:rPr>
          <w:rFonts w:eastAsia="PMingLiU" w:cs="Frutiger-Light"/>
          <w:sz w:val="23"/>
          <w:szCs w:val="23"/>
        </w:rPr>
        <w:t xml:space="preserve">alcohol-related </w:t>
      </w:r>
      <w:r w:rsidRPr="00026159">
        <w:rPr>
          <w:rFonts w:eastAsia="PMingLiU" w:cs="Frutiger-Light"/>
          <w:sz w:val="23"/>
          <w:szCs w:val="23"/>
        </w:rPr>
        <w:t>harm.</w:t>
      </w:r>
      <w:r w:rsidR="00F21514" w:rsidRPr="00026159">
        <w:rPr>
          <w:rStyle w:val="FootnoteReference"/>
          <w:rFonts w:eastAsia="PMingLiU" w:cs="Frutiger-Light"/>
          <w:sz w:val="23"/>
          <w:szCs w:val="23"/>
        </w:rPr>
        <w:footnoteReference w:id="1"/>
      </w:r>
    </w:p>
    <w:p w:rsidR="00F21514" w:rsidRPr="00026159" w:rsidRDefault="00F21514" w:rsidP="00026159">
      <w:pPr>
        <w:jc w:val="both"/>
        <w:rPr>
          <w:rFonts w:eastAsia="PMingLiU" w:cs="Frutiger-Light"/>
          <w:b/>
          <w:i/>
          <w:sz w:val="23"/>
          <w:szCs w:val="23"/>
        </w:rPr>
      </w:pPr>
      <w:r w:rsidRPr="00026159">
        <w:rPr>
          <w:rFonts w:eastAsia="PMingLiU" w:cs="Frutiger-Light"/>
          <w:sz w:val="23"/>
          <w:szCs w:val="23"/>
        </w:rPr>
        <w:t>It is an established fact that increasing licensing hours increases alcohol-related harm.</w:t>
      </w:r>
      <w:bookmarkStart w:id="0" w:name="_Ref427576050"/>
      <w:r w:rsidRPr="00026159">
        <w:rPr>
          <w:rStyle w:val="FootnoteReference"/>
          <w:rFonts w:eastAsia="PMingLiU" w:cs="Frutiger-Light"/>
          <w:sz w:val="23"/>
          <w:szCs w:val="23"/>
        </w:rPr>
        <w:footnoteReference w:id="2"/>
      </w:r>
      <w:bookmarkEnd w:id="0"/>
      <w:r w:rsidRPr="00026159">
        <w:rPr>
          <w:rFonts w:eastAsia="PMingLiU" w:cs="Frutiger-Light"/>
          <w:sz w:val="23"/>
          <w:szCs w:val="23"/>
        </w:rPr>
        <w:t xml:space="preserve"> Based on such evidence and extensive consultation with New Zealanders, the Law Commission recommended reducing trading hours of licensed premises in their final report.</w:t>
      </w:r>
      <w:r w:rsidRPr="00026159">
        <w:rPr>
          <w:rStyle w:val="FootnoteReference"/>
          <w:rFonts w:eastAsia="PMingLiU" w:cs="Frutiger-Light"/>
          <w:sz w:val="23"/>
          <w:szCs w:val="23"/>
        </w:rPr>
        <w:footnoteReference w:id="3"/>
      </w:r>
      <w:r w:rsidRPr="00026159">
        <w:rPr>
          <w:rFonts w:eastAsia="PMingLiU" w:cs="Frutiger-Light"/>
          <w:sz w:val="23"/>
          <w:szCs w:val="23"/>
        </w:rPr>
        <w:t xml:space="preserve"> </w:t>
      </w:r>
    </w:p>
    <w:p w:rsidR="00F21514" w:rsidRPr="00026159" w:rsidRDefault="00F21514" w:rsidP="00026159">
      <w:pPr>
        <w:rPr>
          <w:rFonts w:eastAsia="PMingLiU" w:cs="Frutiger-Light"/>
          <w:sz w:val="23"/>
          <w:szCs w:val="23"/>
        </w:rPr>
      </w:pPr>
      <w:r w:rsidRPr="00026159">
        <w:rPr>
          <w:rFonts w:eastAsia="PMingLiU" w:cs="Frutiger-Light"/>
          <w:sz w:val="23"/>
          <w:szCs w:val="23"/>
        </w:rPr>
        <w:t>In the ten weeks following the introduction of default national maximum trading hours the New Zealand Police reported a positive effect. They reported a 22 per cent decrease in serious assault and disorder offences between 8pm and 8am, compared to the same period the previous year, and a 24 per cent decrease in alcohol-related offences between 4am and 6am.</w:t>
      </w:r>
      <w:r w:rsidRPr="00026159">
        <w:rPr>
          <w:rFonts w:eastAsia="PMingLiU"/>
          <w:sz w:val="23"/>
          <w:szCs w:val="23"/>
          <w:vertAlign w:val="superscript"/>
        </w:rPr>
        <w:footnoteReference w:id="4"/>
      </w:r>
      <w:r w:rsidRPr="00026159">
        <w:rPr>
          <w:rFonts w:eastAsia="PMingLiU" w:cs="Frutiger-Light"/>
          <w:sz w:val="23"/>
          <w:szCs w:val="23"/>
        </w:rPr>
        <w:t xml:space="preserve"> </w:t>
      </w:r>
    </w:p>
    <w:p w:rsidR="00F21514" w:rsidRPr="00026159" w:rsidRDefault="00F21514" w:rsidP="00026159">
      <w:pPr>
        <w:rPr>
          <w:rFonts w:eastAsia="PMingLiU" w:cs="Frutiger-Light"/>
          <w:b/>
          <w:sz w:val="23"/>
          <w:szCs w:val="23"/>
        </w:rPr>
      </w:pPr>
      <w:r w:rsidRPr="00026159">
        <w:rPr>
          <w:rFonts w:eastAsia="PMingLiU" w:cs="Frutiger-Light"/>
          <w:b/>
          <w:sz w:val="23"/>
          <w:szCs w:val="23"/>
        </w:rPr>
        <w:t>I/We believe</w:t>
      </w:r>
      <w:r w:rsidRPr="00026159">
        <w:rPr>
          <w:rFonts w:eastAsia="PMingLiU" w:cs="Frutiger-Light"/>
          <w:sz w:val="23"/>
          <w:szCs w:val="23"/>
        </w:rPr>
        <w:t xml:space="preserve"> the proposed Bill is </w:t>
      </w:r>
      <w:r w:rsidRPr="00026159">
        <w:rPr>
          <w:rFonts w:eastAsia="PMingLiU" w:cs="Frutiger-Light"/>
          <w:b/>
          <w:sz w:val="23"/>
          <w:szCs w:val="23"/>
        </w:rPr>
        <w:t>unnecessary.</w:t>
      </w:r>
    </w:p>
    <w:p w:rsidR="00F21514" w:rsidRPr="00026159" w:rsidRDefault="00F21514" w:rsidP="00026159">
      <w:pPr>
        <w:rPr>
          <w:rFonts w:eastAsia="PMingLiU" w:cs="Frutiger-Light"/>
          <w:sz w:val="23"/>
          <w:szCs w:val="23"/>
        </w:rPr>
      </w:pPr>
      <w:r w:rsidRPr="00026159">
        <w:rPr>
          <w:rFonts w:eastAsia="PMingLiU" w:cs="Frutiger-Light"/>
          <w:sz w:val="23"/>
          <w:szCs w:val="23"/>
        </w:rPr>
        <w:t xml:space="preserve">There are adequate provisions already included in the Sale and Supply of Alcohol Act 2012 to obtain special licences for special events, such as the Rugby World Cup.  Special events are associated with increased risk of alcohol-related harm, and as such require additional oversight and management.  The current provisions ensure that these risks are mitigated, and that appropriate management conditions are applied. </w:t>
      </w:r>
    </w:p>
    <w:p w:rsidR="00F21514" w:rsidRPr="00026159" w:rsidRDefault="00F21514" w:rsidP="00026159">
      <w:pPr>
        <w:jc w:val="both"/>
        <w:rPr>
          <w:rFonts w:eastAsia="PMingLiU" w:cs="Frutiger-Light"/>
          <w:sz w:val="23"/>
          <w:szCs w:val="23"/>
        </w:rPr>
      </w:pPr>
      <w:r w:rsidRPr="00026159">
        <w:rPr>
          <w:rFonts w:eastAsia="PMingLiU" w:cs="Frutiger-Light"/>
          <w:b/>
          <w:sz w:val="23"/>
          <w:szCs w:val="23"/>
        </w:rPr>
        <w:lastRenderedPageBreak/>
        <w:t>I/We believe</w:t>
      </w:r>
      <w:r w:rsidRPr="00026159">
        <w:rPr>
          <w:rFonts w:eastAsia="PMingLiU" w:cs="Frutiger-Light"/>
          <w:sz w:val="23"/>
          <w:szCs w:val="23"/>
        </w:rPr>
        <w:t xml:space="preserve"> the </w:t>
      </w:r>
      <w:r w:rsidR="00B356E4" w:rsidRPr="00026159">
        <w:rPr>
          <w:rFonts w:eastAsia="PMingLiU" w:cs="Frutiger-Light"/>
          <w:sz w:val="23"/>
          <w:szCs w:val="23"/>
        </w:rPr>
        <w:t xml:space="preserve">process used to progress the </w:t>
      </w:r>
      <w:r w:rsidRPr="00026159">
        <w:rPr>
          <w:rFonts w:eastAsia="PMingLiU" w:cs="Frutiger-Light"/>
          <w:sz w:val="23"/>
          <w:szCs w:val="23"/>
        </w:rPr>
        <w:t xml:space="preserve">proposed Bill </w:t>
      </w:r>
      <w:r w:rsidRPr="00026159">
        <w:rPr>
          <w:rFonts w:eastAsia="PMingLiU" w:cs="Frutiger-Light"/>
          <w:b/>
          <w:sz w:val="23"/>
          <w:szCs w:val="23"/>
        </w:rPr>
        <w:t>denies natural justice</w:t>
      </w:r>
      <w:r w:rsidRPr="00026159">
        <w:rPr>
          <w:rFonts w:eastAsia="PMingLiU" w:cs="Frutiger-Light"/>
          <w:sz w:val="23"/>
          <w:szCs w:val="23"/>
        </w:rPr>
        <w:t xml:space="preserve">. </w:t>
      </w:r>
    </w:p>
    <w:p w:rsidR="00F21514" w:rsidRPr="00026159" w:rsidRDefault="00F21514" w:rsidP="00026159">
      <w:pPr>
        <w:shd w:val="clear" w:color="auto" w:fill="FFFFFF"/>
        <w:ind w:right="147"/>
        <w:rPr>
          <w:rFonts w:eastAsia="PMingLiU" w:cs="Frutiger-Light"/>
          <w:sz w:val="23"/>
          <w:szCs w:val="23"/>
        </w:rPr>
      </w:pPr>
      <w:r w:rsidRPr="00026159">
        <w:rPr>
          <w:rFonts w:eastAsia="PMingLiU" w:cs="Frutiger-Light"/>
          <w:sz w:val="23"/>
          <w:szCs w:val="23"/>
        </w:rPr>
        <w:t>The Government stated that the intent of The Sale and Supply of Alcohol Act 2012 was to improve community input into licensing matters.</w:t>
      </w:r>
    </w:p>
    <w:p w:rsidR="00F21514" w:rsidRPr="00026159" w:rsidRDefault="00F21514" w:rsidP="00026159">
      <w:pPr>
        <w:shd w:val="clear" w:color="auto" w:fill="FFFFFF"/>
        <w:ind w:right="147"/>
        <w:rPr>
          <w:rFonts w:eastAsia="PMingLiU" w:cs="Frutiger-Light"/>
          <w:sz w:val="23"/>
          <w:szCs w:val="23"/>
        </w:rPr>
      </w:pPr>
      <w:r w:rsidRPr="00026159">
        <w:rPr>
          <w:rFonts w:eastAsia="PMingLiU" w:cs="Frutiger-Light"/>
          <w:sz w:val="23"/>
          <w:szCs w:val="23"/>
        </w:rPr>
        <w:t xml:space="preserve">The Act was a result of over 5 years rigorous review and consultation. Throughout this process, the public expressed strong support for greater restrictions on the accessibility and availability of alcohol. </w:t>
      </w:r>
    </w:p>
    <w:p w:rsidR="00F21514" w:rsidRPr="00026159" w:rsidRDefault="00F21514" w:rsidP="00026159">
      <w:pPr>
        <w:shd w:val="clear" w:color="auto" w:fill="FFFFFF"/>
        <w:ind w:right="147"/>
        <w:rPr>
          <w:rFonts w:eastAsia="PMingLiU" w:cs="Frutiger-Light"/>
          <w:sz w:val="23"/>
          <w:szCs w:val="23"/>
        </w:rPr>
      </w:pPr>
      <w:r w:rsidRPr="00026159">
        <w:rPr>
          <w:rFonts w:eastAsia="PMingLiU" w:cs="Frutiger-Light"/>
          <w:sz w:val="23"/>
          <w:szCs w:val="23"/>
        </w:rPr>
        <w:t xml:space="preserve">New Zealanders demanded a change in their drinking culture. Fifty-two (52) per cent of submissions made to the Law Commission supported restricting trading hours of on-licence premises. Based on findings from the </w:t>
      </w:r>
      <w:r w:rsidRPr="00026159">
        <w:rPr>
          <w:rFonts w:eastAsia="PMingLiU" w:cs="Frutiger-Light"/>
          <w:i/>
          <w:sz w:val="23"/>
          <w:szCs w:val="23"/>
        </w:rPr>
        <w:t>New Zealand Health and Lifestyles Survey</w:t>
      </w:r>
      <w:r w:rsidRPr="00026159">
        <w:rPr>
          <w:rFonts w:eastAsia="PMingLiU" w:cs="Frutiger-Light"/>
          <w:sz w:val="23"/>
          <w:szCs w:val="23"/>
        </w:rPr>
        <w:t>, 62 per cent of New Zealand adults supported reducing the hours when alcohol can be sold (average across 2010, 2012 and 2014).</w:t>
      </w:r>
      <w:r w:rsidRPr="00026159">
        <w:rPr>
          <w:rStyle w:val="FootnoteReference"/>
          <w:rFonts w:eastAsia="PMingLiU" w:cs="Frutiger-Light"/>
          <w:sz w:val="23"/>
          <w:szCs w:val="23"/>
        </w:rPr>
        <w:t xml:space="preserve"> </w:t>
      </w:r>
      <w:bookmarkStart w:id="1" w:name="_Ref427333813"/>
      <w:r w:rsidRPr="00026159">
        <w:rPr>
          <w:rStyle w:val="FootnoteReference"/>
          <w:rFonts w:eastAsia="PMingLiU" w:cs="Frutiger-Light"/>
          <w:sz w:val="23"/>
          <w:szCs w:val="23"/>
        </w:rPr>
        <w:footnoteReference w:id="5"/>
      </w:r>
      <w:bookmarkEnd w:id="1"/>
      <w:r w:rsidRPr="00026159">
        <w:rPr>
          <w:rFonts w:eastAsia="PMingLiU" w:cs="Frutiger-Light"/>
          <w:sz w:val="23"/>
          <w:szCs w:val="23"/>
        </w:rPr>
        <w:t xml:space="preserve"> </w:t>
      </w:r>
    </w:p>
    <w:p w:rsidR="00F21514" w:rsidRPr="00026159" w:rsidRDefault="00F21514" w:rsidP="00026159">
      <w:pPr>
        <w:shd w:val="clear" w:color="auto" w:fill="FFFFFF"/>
        <w:ind w:right="147"/>
        <w:rPr>
          <w:rFonts w:eastAsia="PMingLiU" w:cs="Frutiger-Light"/>
          <w:sz w:val="23"/>
          <w:szCs w:val="23"/>
        </w:rPr>
      </w:pPr>
      <w:r w:rsidRPr="00026159">
        <w:rPr>
          <w:rFonts w:eastAsia="PMingLiU" w:cs="Frutiger-Light"/>
          <w:sz w:val="23"/>
          <w:szCs w:val="23"/>
        </w:rPr>
        <w:t xml:space="preserve">Changing the trading hours of licensed premises through a rushed process, denies civil society </w:t>
      </w:r>
      <w:r w:rsidR="00C36BB2" w:rsidRPr="00026159">
        <w:rPr>
          <w:rFonts w:eastAsia="PMingLiU" w:cs="Frutiger-Light"/>
          <w:sz w:val="23"/>
          <w:szCs w:val="23"/>
        </w:rPr>
        <w:t xml:space="preserve">to fully exercise their right </w:t>
      </w:r>
      <w:r w:rsidRPr="00026159">
        <w:rPr>
          <w:rFonts w:eastAsia="PMingLiU" w:cs="Frutiger-Light"/>
          <w:sz w:val="23"/>
          <w:szCs w:val="23"/>
        </w:rPr>
        <w:t xml:space="preserve">to have their say, and falls short of our expectations of democracy. Extending trading hours of licensed premises goes against the view of the majority of those who have already engaged in more thorough consultation on this matter. </w:t>
      </w:r>
    </w:p>
    <w:p w:rsidR="00F21514" w:rsidRPr="00026159" w:rsidRDefault="004A72AB" w:rsidP="00026159">
      <w:pPr>
        <w:shd w:val="clear" w:color="auto" w:fill="FFFFFF"/>
        <w:ind w:right="150"/>
        <w:rPr>
          <w:rFonts w:eastAsia="PMingLiU" w:cs="Frutiger-Light"/>
          <w:sz w:val="23"/>
          <w:szCs w:val="23"/>
        </w:rPr>
      </w:pPr>
      <w:r w:rsidRPr="00026159">
        <w:rPr>
          <w:rFonts w:eastAsia="PMingLiU" w:cs="Frutiger-Light"/>
          <w:sz w:val="23"/>
          <w:szCs w:val="23"/>
        </w:rPr>
        <w:t xml:space="preserve">In addition, we note that the Rugby World Cup will expose viewers to extensive alcohol advertising and sponsorship.  Evidence suggests that such exposure, particularly to young people leads to early initiation of alcohol use, increases alcohol consumption among those who already drink, and predisposes them to heavy drinking in the long </w:t>
      </w:r>
      <w:r w:rsidR="00F21514" w:rsidRPr="00026159">
        <w:rPr>
          <w:rFonts w:eastAsia="PMingLiU" w:cs="Frutiger-Light"/>
          <w:sz w:val="23"/>
          <w:szCs w:val="23"/>
        </w:rPr>
        <w:t>term.</w:t>
      </w:r>
      <w:r w:rsidR="00E95215">
        <w:rPr>
          <w:rStyle w:val="FootnoteReference"/>
          <w:rFonts w:eastAsia="PMingLiU" w:cs="Frutiger-Light"/>
          <w:sz w:val="23"/>
          <w:szCs w:val="23"/>
        </w:rPr>
        <w:footnoteReference w:id="6"/>
      </w:r>
      <w:r w:rsidR="00E95215" w:rsidRPr="00026159">
        <w:rPr>
          <w:rFonts w:eastAsia="PMingLiU" w:cs="Frutiger-Light"/>
          <w:sz w:val="23"/>
          <w:szCs w:val="23"/>
        </w:rPr>
        <w:t xml:space="preserve"> </w:t>
      </w:r>
    </w:p>
    <w:p w:rsidR="00F21514" w:rsidRPr="00026159" w:rsidRDefault="00F21514" w:rsidP="00026159">
      <w:pPr>
        <w:rPr>
          <w:rFonts w:eastAsia="PMingLiU" w:cs="Frutiger-Light"/>
          <w:sz w:val="23"/>
          <w:szCs w:val="23"/>
        </w:rPr>
      </w:pPr>
      <w:r w:rsidRPr="00026159">
        <w:rPr>
          <w:rFonts w:eastAsia="PMingLiU" w:cs="Frutiger-Light"/>
          <w:sz w:val="23"/>
          <w:szCs w:val="23"/>
        </w:rPr>
        <w:t>Evidence shows that 80 per cent of New Zealander</w:t>
      </w:r>
      <w:r w:rsidR="00D81B04">
        <w:rPr>
          <w:rFonts w:eastAsia="PMingLiU" w:cs="Frutiger-Light"/>
          <w:sz w:val="23"/>
          <w:szCs w:val="23"/>
        </w:rPr>
        <w:t>s</w:t>
      </w:r>
      <w:r w:rsidRPr="00026159">
        <w:rPr>
          <w:rFonts w:eastAsia="PMingLiU" w:cs="Frutiger-Light"/>
          <w:sz w:val="23"/>
          <w:szCs w:val="23"/>
        </w:rPr>
        <w:t xml:space="preserve"> supported more restrictions on alcohol advertising or promotion that is seen or heard by young people.</w:t>
      </w:r>
      <w:r w:rsidR="00E95215">
        <w:rPr>
          <w:rStyle w:val="FootnoteReference"/>
          <w:rFonts w:eastAsia="PMingLiU" w:cs="Frutiger-Light"/>
          <w:sz w:val="23"/>
          <w:szCs w:val="23"/>
        </w:rPr>
        <w:footnoteReference w:id="7"/>
      </w:r>
      <w:r w:rsidRPr="00026159">
        <w:rPr>
          <w:rFonts w:eastAsia="PMingLiU" w:cs="Frutiger-Light"/>
          <w:sz w:val="23"/>
          <w:szCs w:val="23"/>
        </w:rPr>
        <w:t xml:space="preserve"> </w:t>
      </w:r>
    </w:p>
    <w:p w:rsidR="00F21514" w:rsidRPr="00026159" w:rsidRDefault="00F21514" w:rsidP="00026159">
      <w:pPr>
        <w:rPr>
          <w:rFonts w:eastAsia="PMingLiU" w:cs="Frutiger-Light"/>
          <w:sz w:val="23"/>
          <w:szCs w:val="23"/>
        </w:rPr>
      </w:pPr>
      <w:r w:rsidRPr="00026159">
        <w:rPr>
          <w:rFonts w:eastAsia="PMingLiU" w:cs="Frutiger-Light"/>
          <w:sz w:val="23"/>
          <w:szCs w:val="23"/>
        </w:rPr>
        <w:t>Following its recent review, the Ministerial Forum on Alcohol Advertising and Sponsorship recommended a ban of alcohol sponsorship of sports as one of its fourteen recommendations.</w:t>
      </w:r>
      <w:r w:rsidRPr="00026159">
        <w:rPr>
          <w:rStyle w:val="FootnoteReference"/>
          <w:rFonts w:eastAsia="PMingLiU" w:cs="Frutiger-Light"/>
          <w:sz w:val="23"/>
          <w:szCs w:val="23"/>
        </w:rPr>
        <w:footnoteReference w:id="8"/>
      </w:r>
    </w:p>
    <w:p w:rsidR="0053770E" w:rsidRPr="00026159" w:rsidRDefault="0053770E" w:rsidP="00026159">
      <w:pPr>
        <w:rPr>
          <w:rFonts w:eastAsia="PMingLiU" w:cs="Frutiger-Light"/>
          <w:sz w:val="23"/>
          <w:szCs w:val="23"/>
        </w:rPr>
      </w:pPr>
      <w:r w:rsidRPr="00026159">
        <w:rPr>
          <w:rFonts w:eastAsia="PMingLiU" w:cs="Frutiger-Light"/>
          <w:b/>
          <w:sz w:val="23"/>
          <w:szCs w:val="23"/>
        </w:rPr>
        <w:t>I/We conclude</w:t>
      </w:r>
      <w:r w:rsidRPr="00026159">
        <w:rPr>
          <w:rFonts w:eastAsia="PMingLiU" w:cs="Frutiger-Light"/>
          <w:sz w:val="23"/>
          <w:szCs w:val="23"/>
        </w:rPr>
        <w:t xml:space="preserve"> that making the proposed changes to the Sale and Supply of Alcohol Act 2012 undermines the consultation processes and decisions already made</w:t>
      </w:r>
      <w:r w:rsidR="000B027B" w:rsidRPr="00026159">
        <w:rPr>
          <w:rFonts w:eastAsia="PMingLiU" w:cs="Frutiger-Light"/>
          <w:sz w:val="23"/>
          <w:szCs w:val="23"/>
        </w:rPr>
        <w:t xml:space="preserve"> o</w:t>
      </w:r>
      <w:r w:rsidR="00F21514" w:rsidRPr="00026159">
        <w:rPr>
          <w:rFonts w:eastAsia="PMingLiU" w:cs="Frutiger-Light"/>
          <w:sz w:val="23"/>
          <w:szCs w:val="23"/>
        </w:rPr>
        <w:t>n</w:t>
      </w:r>
      <w:r w:rsidR="000B027B" w:rsidRPr="00026159">
        <w:rPr>
          <w:rFonts w:eastAsia="PMingLiU" w:cs="Frutiger-Light"/>
          <w:sz w:val="23"/>
          <w:szCs w:val="23"/>
        </w:rPr>
        <w:t xml:space="preserve"> our alcohol laws</w:t>
      </w:r>
      <w:r w:rsidR="00F21514" w:rsidRPr="00026159">
        <w:rPr>
          <w:rFonts w:eastAsia="PMingLiU" w:cs="Frutiger-Light"/>
          <w:sz w:val="23"/>
          <w:szCs w:val="23"/>
        </w:rPr>
        <w:t>,</w:t>
      </w:r>
      <w:r w:rsidR="000B027B" w:rsidRPr="00026159">
        <w:rPr>
          <w:rFonts w:eastAsia="PMingLiU" w:cs="Frutiger-Light"/>
          <w:sz w:val="23"/>
          <w:szCs w:val="23"/>
        </w:rPr>
        <w:t xml:space="preserve"> and </w:t>
      </w:r>
      <w:r w:rsidR="00C36BB2" w:rsidRPr="00026159">
        <w:rPr>
          <w:rFonts w:eastAsia="PMingLiU" w:cs="Frutiger-Light"/>
          <w:sz w:val="23"/>
          <w:szCs w:val="23"/>
        </w:rPr>
        <w:t xml:space="preserve">the process through which it is being considered </w:t>
      </w:r>
      <w:r w:rsidRPr="00026159">
        <w:rPr>
          <w:rFonts w:eastAsia="PMingLiU" w:cs="Frutiger-Light"/>
          <w:sz w:val="23"/>
          <w:szCs w:val="23"/>
        </w:rPr>
        <w:t>represent</w:t>
      </w:r>
      <w:r w:rsidR="000B027B" w:rsidRPr="00026159">
        <w:rPr>
          <w:rFonts w:eastAsia="PMingLiU" w:cs="Frutiger-Light"/>
          <w:sz w:val="23"/>
          <w:szCs w:val="23"/>
        </w:rPr>
        <w:t>s</w:t>
      </w:r>
      <w:r w:rsidRPr="00026159">
        <w:rPr>
          <w:rFonts w:eastAsia="PMingLiU" w:cs="Frutiger-Light"/>
          <w:sz w:val="23"/>
          <w:szCs w:val="23"/>
        </w:rPr>
        <w:t xml:space="preserve"> poor </w:t>
      </w:r>
      <w:r w:rsidR="000B027B" w:rsidRPr="00026159">
        <w:rPr>
          <w:rFonts w:eastAsia="PMingLiU" w:cs="Frutiger-Light"/>
          <w:sz w:val="23"/>
          <w:szCs w:val="23"/>
        </w:rPr>
        <w:t>d</w:t>
      </w:r>
      <w:r w:rsidRPr="00026159">
        <w:rPr>
          <w:rFonts w:eastAsia="PMingLiU" w:cs="Frutiger-Light"/>
          <w:sz w:val="23"/>
          <w:szCs w:val="23"/>
        </w:rPr>
        <w:t>emocracy and law making.</w:t>
      </w:r>
    </w:p>
    <w:p w:rsidR="003A73D8" w:rsidRPr="00026159" w:rsidRDefault="003A73D8" w:rsidP="00026159">
      <w:pPr>
        <w:rPr>
          <w:rFonts w:eastAsia="PMingLiU" w:cs="Frutiger-Light"/>
          <w:bCs/>
          <w:sz w:val="23"/>
          <w:szCs w:val="23"/>
        </w:rPr>
      </w:pPr>
      <w:r w:rsidRPr="00026159">
        <w:rPr>
          <w:rFonts w:eastAsia="PMingLiU" w:cs="Frutiger-Light"/>
          <w:bCs/>
          <w:sz w:val="23"/>
          <w:szCs w:val="23"/>
        </w:rPr>
        <w:t>There are a multitude of options for New Zealanders to enjoy viewing the 2015 Rugby World Cup with or without alcohol. The proposed changes to the Sale and Supply of Alcohol Act 2012 are unnecessary, undermines the object of the Act and the consultation process denies natural justice.</w:t>
      </w:r>
    </w:p>
    <w:p w:rsidR="00D436AA" w:rsidRPr="00026159" w:rsidRDefault="0053770E" w:rsidP="00026159">
      <w:pPr>
        <w:rPr>
          <w:rFonts w:eastAsia="PMingLiU" w:cs="Frutiger-Light"/>
          <w:sz w:val="23"/>
          <w:szCs w:val="23"/>
        </w:rPr>
      </w:pPr>
      <w:r w:rsidRPr="00026159">
        <w:rPr>
          <w:rFonts w:eastAsia="PMingLiU" w:cs="Frutiger-Light"/>
          <w:b/>
          <w:sz w:val="23"/>
          <w:szCs w:val="23"/>
        </w:rPr>
        <w:t>I/We strongly</w:t>
      </w:r>
      <w:r w:rsidRPr="00026159">
        <w:rPr>
          <w:rFonts w:eastAsia="PMingLiU" w:cs="Frutiger-Light"/>
          <w:sz w:val="23"/>
          <w:szCs w:val="23"/>
        </w:rPr>
        <w:t xml:space="preserve"> recommend that </w:t>
      </w:r>
      <w:r w:rsidR="00D436AA" w:rsidRPr="00026159">
        <w:rPr>
          <w:rFonts w:eastAsia="PMingLiU" w:cs="Frutiger-Light"/>
          <w:sz w:val="23"/>
          <w:szCs w:val="23"/>
        </w:rPr>
        <w:t xml:space="preserve">the Committee </w:t>
      </w:r>
      <w:r w:rsidRPr="00026159">
        <w:rPr>
          <w:rFonts w:eastAsia="PMingLiU" w:cs="Frutiger-Light"/>
          <w:sz w:val="23"/>
          <w:szCs w:val="23"/>
        </w:rPr>
        <w:t>reject</w:t>
      </w:r>
      <w:r w:rsidR="00D436AA" w:rsidRPr="00026159">
        <w:rPr>
          <w:rFonts w:eastAsia="PMingLiU" w:cs="Frutiger-Light"/>
          <w:sz w:val="23"/>
          <w:szCs w:val="23"/>
        </w:rPr>
        <w:t xml:space="preserve"> the Bill.</w:t>
      </w:r>
    </w:p>
    <w:p w:rsidR="00E97F51" w:rsidRPr="00026159" w:rsidRDefault="00D436AA" w:rsidP="00026159">
      <w:pPr>
        <w:jc w:val="both"/>
        <w:rPr>
          <w:rFonts w:eastAsia="PMingLiU" w:cs="Frutiger-Light"/>
          <w:sz w:val="23"/>
          <w:szCs w:val="23"/>
        </w:rPr>
      </w:pPr>
      <w:r w:rsidRPr="00026159">
        <w:rPr>
          <w:rFonts w:eastAsia="PMingLiU" w:cs="Frutiger-Light"/>
          <w:sz w:val="23"/>
          <w:szCs w:val="23"/>
        </w:rPr>
        <w:t>Should the Committee wish to</w:t>
      </w:r>
      <w:r w:rsidR="0053770E" w:rsidRPr="00026159">
        <w:rPr>
          <w:rFonts w:eastAsia="PMingLiU" w:cs="Frutiger-Light"/>
          <w:sz w:val="23"/>
          <w:szCs w:val="23"/>
        </w:rPr>
        <w:t xml:space="preserve"> proceed with the Bill, </w:t>
      </w:r>
      <w:r w:rsidR="0053770E" w:rsidRPr="00026159">
        <w:rPr>
          <w:rFonts w:eastAsia="PMingLiU" w:cs="Frutiger-Light"/>
          <w:b/>
          <w:sz w:val="23"/>
          <w:szCs w:val="23"/>
        </w:rPr>
        <w:t>I/W</w:t>
      </w:r>
      <w:r w:rsidRPr="00026159">
        <w:rPr>
          <w:rFonts w:eastAsia="PMingLiU" w:cs="Frutiger-Light"/>
          <w:b/>
          <w:sz w:val="23"/>
          <w:szCs w:val="23"/>
        </w:rPr>
        <w:t>e</w:t>
      </w:r>
      <w:r w:rsidRPr="00026159">
        <w:rPr>
          <w:rFonts w:eastAsia="PMingLiU" w:cs="Frutiger-Light"/>
          <w:sz w:val="23"/>
          <w:szCs w:val="23"/>
        </w:rPr>
        <w:t xml:space="preserve"> suggest imposing a risk-based fee on the licensees who </w:t>
      </w:r>
      <w:r w:rsidR="0053770E" w:rsidRPr="00026159">
        <w:rPr>
          <w:rFonts w:eastAsia="PMingLiU" w:cs="Frutiger-Light"/>
          <w:sz w:val="23"/>
          <w:szCs w:val="23"/>
        </w:rPr>
        <w:t>notify their extended</w:t>
      </w:r>
      <w:r w:rsidRPr="00026159">
        <w:rPr>
          <w:rFonts w:eastAsia="PMingLiU" w:cs="Frutiger-Light"/>
          <w:sz w:val="23"/>
          <w:szCs w:val="23"/>
        </w:rPr>
        <w:t xml:space="preserve"> licensing hours during the 2015 Rugby World Cup</w:t>
      </w:r>
      <w:r w:rsidR="000B027B" w:rsidRPr="00026159">
        <w:rPr>
          <w:rFonts w:eastAsia="PMingLiU" w:cs="Frutiger-Light"/>
          <w:sz w:val="23"/>
          <w:szCs w:val="23"/>
        </w:rPr>
        <w:t>. This would help to cover the in</w:t>
      </w:r>
      <w:r w:rsidR="0053770E" w:rsidRPr="00026159">
        <w:rPr>
          <w:rFonts w:eastAsia="PMingLiU" w:cs="Frutiger-Light"/>
          <w:sz w:val="23"/>
          <w:szCs w:val="23"/>
        </w:rPr>
        <w:t xml:space="preserve">creased costs of monitoring and enforcement and increased levels of </w:t>
      </w:r>
      <w:r w:rsidR="000B027B" w:rsidRPr="00026159">
        <w:rPr>
          <w:rFonts w:eastAsia="PMingLiU" w:cs="Frutiger-Light"/>
          <w:sz w:val="23"/>
          <w:szCs w:val="23"/>
        </w:rPr>
        <w:t xml:space="preserve">alcohol-related </w:t>
      </w:r>
      <w:r w:rsidR="0053770E" w:rsidRPr="00026159">
        <w:rPr>
          <w:rFonts w:eastAsia="PMingLiU" w:cs="Frutiger-Light"/>
          <w:sz w:val="23"/>
          <w:szCs w:val="23"/>
        </w:rPr>
        <w:t>harm</w:t>
      </w:r>
      <w:r w:rsidR="000B027B" w:rsidRPr="00026159">
        <w:rPr>
          <w:rFonts w:eastAsia="PMingLiU" w:cs="Frutiger-Light"/>
          <w:sz w:val="23"/>
          <w:szCs w:val="23"/>
        </w:rPr>
        <w:t>s</w:t>
      </w:r>
      <w:r w:rsidRPr="00026159">
        <w:rPr>
          <w:rFonts w:eastAsia="PMingLiU" w:cs="Frutiger-Light"/>
          <w:sz w:val="23"/>
          <w:szCs w:val="23"/>
        </w:rPr>
        <w:t xml:space="preserve">. </w:t>
      </w:r>
    </w:p>
    <w:sectPr w:rsidR="00E97F51" w:rsidRPr="00026159" w:rsidSect="00026159">
      <w:footerReference w:type="default" r:id="rId9"/>
      <w:pgSz w:w="11906" w:h="16838"/>
      <w:pgMar w:top="1135" w:right="991" w:bottom="72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50D" w:rsidRDefault="00A8250D" w:rsidP="00773E7A">
      <w:pPr>
        <w:spacing w:after="0" w:line="240" w:lineRule="auto"/>
      </w:pPr>
      <w:r>
        <w:separator/>
      </w:r>
    </w:p>
  </w:endnote>
  <w:endnote w:type="continuationSeparator" w:id="0">
    <w:p w:rsidR="00A8250D" w:rsidRDefault="00A8250D" w:rsidP="00773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3958"/>
      <w:docPartObj>
        <w:docPartGallery w:val="Page Numbers (Bottom of Page)"/>
        <w:docPartUnique/>
      </w:docPartObj>
    </w:sdtPr>
    <w:sdtContent>
      <w:sdt>
        <w:sdtPr>
          <w:id w:val="565050523"/>
          <w:docPartObj>
            <w:docPartGallery w:val="Page Numbers (Top of Page)"/>
            <w:docPartUnique/>
          </w:docPartObj>
        </w:sdtPr>
        <w:sdtContent>
          <w:p w:rsidR="00386512" w:rsidRDefault="00386512">
            <w:pPr>
              <w:pStyle w:val="Footer"/>
              <w:jc w:val="right"/>
            </w:pPr>
            <w:r w:rsidRPr="00E97F51">
              <w:t xml:space="preserve">Page </w:t>
            </w:r>
            <w:r w:rsidR="00AA5C94" w:rsidRPr="00E97F51">
              <w:rPr>
                <w:sz w:val="24"/>
                <w:szCs w:val="24"/>
              </w:rPr>
              <w:fldChar w:fldCharType="begin"/>
            </w:r>
            <w:r w:rsidRPr="00E97F51">
              <w:instrText xml:space="preserve"> PAGE </w:instrText>
            </w:r>
            <w:r w:rsidR="00AA5C94" w:rsidRPr="00E97F51">
              <w:rPr>
                <w:sz w:val="24"/>
                <w:szCs w:val="24"/>
              </w:rPr>
              <w:fldChar w:fldCharType="separate"/>
            </w:r>
            <w:r w:rsidR="00E95215">
              <w:rPr>
                <w:noProof/>
              </w:rPr>
              <w:t>1</w:t>
            </w:r>
            <w:r w:rsidR="00AA5C94" w:rsidRPr="00E97F51">
              <w:rPr>
                <w:sz w:val="24"/>
                <w:szCs w:val="24"/>
              </w:rPr>
              <w:fldChar w:fldCharType="end"/>
            </w:r>
            <w:r w:rsidRPr="00E97F51">
              <w:t xml:space="preserve"> of </w:t>
            </w:r>
            <w:r w:rsidR="00AA5C94" w:rsidRPr="00E97F51">
              <w:rPr>
                <w:sz w:val="24"/>
                <w:szCs w:val="24"/>
              </w:rPr>
              <w:fldChar w:fldCharType="begin"/>
            </w:r>
            <w:r w:rsidRPr="00E97F51">
              <w:instrText xml:space="preserve"> NUMPAGES  </w:instrText>
            </w:r>
            <w:r w:rsidR="00AA5C94" w:rsidRPr="00E97F51">
              <w:rPr>
                <w:sz w:val="24"/>
                <w:szCs w:val="24"/>
              </w:rPr>
              <w:fldChar w:fldCharType="separate"/>
            </w:r>
            <w:r w:rsidR="00E95215">
              <w:rPr>
                <w:noProof/>
              </w:rPr>
              <w:t>2</w:t>
            </w:r>
            <w:r w:rsidR="00AA5C94" w:rsidRPr="00E97F51">
              <w:rPr>
                <w:sz w:val="24"/>
                <w:szCs w:val="24"/>
              </w:rPr>
              <w:fldChar w:fldCharType="end"/>
            </w:r>
          </w:p>
        </w:sdtContent>
      </w:sdt>
    </w:sdtContent>
  </w:sdt>
  <w:p w:rsidR="00386512" w:rsidRDefault="003865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50D" w:rsidRDefault="00A8250D" w:rsidP="00773E7A">
      <w:pPr>
        <w:spacing w:after="0" w:line="240" w:lineRule="auto"/>
      </w:pPr>
      <w:r>
        <w:separator/>
      </w:r>
    </w:p>
  </w:footnote>
  <w:footnote w:type="continuationSeparator" w:id="0">
    <w:p w:rsidR="00A8250D" w:rsidRDefault="00A8250D" w:rsidP="00773E7A">
      <w:pPr>
        <w:spacing w:after="0" w:line="240" w:lineRule="auto"/>
      </w:pPr>
      <w:r>
        <w:continuationSeparator/>
      </w:r>
    </w:p>
  </w:footnote>
  <w:footnote w:id="1">
    <w:p w:rsidR="00F21514" w:rsidRPr="00E95215" w:rsidRDefault="00F21514" w:rsidP="00543B19">
      <w:pPr>
        <w:pStyle w:val="FootnoteText"/>
        <w:rPr>
          <w:sz w:val="16"/>
          <w:szCs w:val="16"/>
        </w:rPr>
      </w:pPr>
      <w:r w:rsidRPr="00456366">
        <w:rPr>
          <w:rStyle w:val="FootnoteReference"/>
          <w:sz w:val="18"/>
          <w:szCs w:val="18"/>
        </w:rPr>
        <w:footnoteRef/>
      </w:r>
      <w:r w:rsidRPr="00456366">
        <w:rPr>
          <w:sz w:val="18"/>
          <w:szCs w:val="18"/>
        </w:rPr>
        <w:t xml:space="preserve"> </w:t>
      </w:r>
      <w:r w:rsidRPr="00E95215">
        <w:rPr>
          <w:sz w:val="16"/>
          <w:szCs w:val="16"/>
        </w:rPr>
        <w:t xml:space="preserve">Kypri K. (2015). Commentary on de </w:t>
      </w:r>
      <w:proofErr w:type="spellStart"/>
      <w:r w:rsidRPr="00E95215">
        <w:rPr>
          <w:sz w:val="16"/>
          <w:szCs w:val="16"/>
        </w:rPr>
        <w:t>Goeij</w:t>
      </w:r>
      <w:proofErr w:type="spellEnd"/>
      <w:r w:rsidRPr="00E95215">
        <w:rPr>
          <w:sz w:val="16"/>
          <w:szCs w:val="16"/>
        </w:rPr>
        <w:t xml:space="preserve"> et al. (2015): Evidence of harm from late night alcohol sales continues to strengthen. Addiction 110, 965–966.</w:t>
      </w:r>
    </w:p>
  </w:footnote>
  <w:footnote w:id="2">
    <w:p w:rsidR="00F21514" w:rsidRPr="00E95215" w:rsidRDefault="00F21514" w:rsidP="00543B19">
      <w:pPr>
        <w:pStyle w:val="FootnoteText"/>
        <w:rPr>
          <w:sz w:val="16"/>
          <w:szCs w:val="16"/>
        </w:rPr>
      </w:pPr>
      <w:r w:rsidRPr="00E95215">
        <w:rPr>
          <w:rStyle w:val="FootnoteReference"/>
          <w:sz w:val="16"/>
          <w:szCs w:val="16"/>
        </w:rPr>
        <w:footnoteRef/>
      </w:r>
      <w:r w:rsidRPr="00E95215">
        <w:rPr>
          <w:sz w:val="16"/>
          <w:szCs w:val="16"/>
        </w:rPr>
        <w:t xml:space="preserve"> Babor T. et al (2010). Alcohol No Ordinary Commodity: Research and Public Policy. </w:t>
      </w:r>
      <w:proofErr w:type="gramStart"/>
      <w:r w:rsidRPr="00E95215">
        <w:rPr>
          <w:sz w:val="16"/>
          <w:szCs w:val="16"/>
        </w:rPr>
        <w:t>2</w:t>
      </w:r>
      <w:r w:rsidRPr="00E95215">
        <w:rPr>
          <w:sz w:val="16"/>
          <w:szCs w:val="16"/>
          <w:vertAlign w:val="superscript"/>
        </w:rPr>
        <w:t>nd</w:t>
      </w:r>
      <w:r w:rsidRPr="00E95215">
        <w:rPr>
          <w:sz w:val="16"/>
          <w:szCs w:val="16"/>
        </w:rPr>
        <w:t xml:space="preserve"> ed. Oxford University.</w:t>
      </w:r>
      <w:proofErr w:type="gramEnd"/>
      <w:r w:rsidRPr="00E95215">
        <w:rPr>
          <w:sz w:val="16"/>
          <w:szCs w:val="16"/>
        </w:rPr>
        <w:t xml:space="preserve"> </w:t>
      </w:r>
    </w:p>
  </w:footnote>
  <w:footnote w:id="3">
    <w:p w:rsidR="00F21514" w:rsidRPr="00E95215" w:rsidRDefault="00F21514" w:rsidP="00543B19">
      <w:pPr>
        <w:spacing w:after="0" w:line="240" w:lineRule="auto"/>
        <w:jc w:val="both"/>
        <w:rPr>
          <w:rFonts w:ascii="Calibri" w:eastAsia="PMingLiU" w:hAnsi="Calibri" w:cs="Frutiger-Light"/>
          <w:b/>
          <w:sz w:val="16"/>
          <w:szCs w:val="16"/>
        </w:rPr>
      </w:pPr>
      <w:r w:rsidRPr="00E95215">
        <w:rPr>
          <w:rStyle w:val="FootnoteReference"/>
          <w:sz w:val="16"/>
          <w:szCs w:val="16"/>
        </w:rPr>
        <w:footnoteRef/>
      </w:r>
      <w:r w:rsidRPr="00E95215">
        <w:rPr>
          <w:sz w:val="16"/>
          <w:szCs w:val="16"/>
        </w:rPr>
        <w:t xml:space="preserve"> </w:t>
      </w:r>
      <w:proofErr w:type="gramStart"/>
      <w:r w:rsidRPr="00E95215">
        <w:rPr>
          <w:sz w:val="16"/>
          <w:szCs w:val="16"/>
        </w:rPr>
        <w:t>New Zealand Law Commission.</w:t>
      </w:r>
      <w:proofErr w:type="gramEnd"/>
      <w:r w:rsidRPr="00E95215">
        <w:rPr>
          <w:sz w:val="16"/>
          <w:szCs w:val="16"/>
        </w:rPr>
        <w:t xml:space="preserve"> (2010). Alcohol in Our Lives: Curbing the harm. </w:t>
      </w:r>
      <w:proofErr w:type="gramStart"/>
      <w:r w:rsidRPr="00E95215">
        <w:rPr>
          <w:sz w:val="16"/>
          <w:szCs w:val="16"/>
        </w:rPr>
        <w:t>A report on the review of the regulatory framework for the sale and supply of liquor.</w:t>
      </w:r>
      <w:proofErr w:type="gramEnd"/>
      <w:r w:rsidRPr="00E95215">
        <w:rPr>
          <w:sz w:val="16"/>
          <w:szCs w:val="16"/>
        </w:rPr>
        <w:t xml:space="preserve"> Wellington: New Zealand.   </w:t>
      </w:r>
    </w:p>
  </w:footnote>
  <w:footnote w:id="4">
    <w:p w:rsidR="00F21514" w:rsidRPr="00E95215" w:rsidRDefault="00F21514" w:rsidP="00543B19">
      <w:pPr>
        <w:pStyle w:val="FootnoteText"/>
        <w:rPr>
          <w:sz w:val="16"/>
          <w:szCs w:val="16"/>
        </w:rPr>
      </w:pPr>
      <w:r w:rsidRPr="00E95215">
        <w:rPr>
          <w:rStyle w:val="FootnoteReference"/>
          <w:sz w:val="16"/>
          <w:szCs w:val="16"/>
        </w:rPr>
        <w:footnoteRef/>
      </w:r>
      <w:r w:rsidRPr="00E95215">
        <w:rPr>
          <w:sz w:val="16"/>
          <w:szCs w:val="16"/>
        </w:rPr>
        <w:t xml:space="preserve"> </w:t>
      </w:r>
      <w:proofErr w:type="spellStart"/>
      <w:r w:rsidRPr="00E95215">
        <w:rPr>
          <w:sz w:val="16"/>
          <w:szCs w:val="16"/>
        </w:rPr>
        <w:t>Tolley</w:t>
      </w:r>
      <w:proofErr w:type="spellEnd"/>
      <w:r w:rsidRPr="00E95215">
        <w:rPr>
          <w:sz w:val="16"/>
          <w:szCs w:val="16"/>
        </w:rPr>
        <w:t xml:space="preserve"> A. (2014). Changes to alcohol laws have immediate effect. Media release. </w:t>
      </w:r>
      <w:hyperlink r:id="rId1" w:history="1">
        <w:r w:rsidRPr="00E95215">
          <w:rPr>
            <w:rStyle w:val="Hyperlink"/>
            <w:sz w:val="16"/>
            <w:szCs w:val="16"/>
          </w:rPr>
          <w:t>http://www.beehive.govt.nz/release/changes-alcohol-laws-have-immediate-effect</w:t>
        </w:r>
      </w:hyperlink>
      <w:r w:rsidR="00E95215">
        <w:rPr>
          <w:sz w:val="16"/>
          <w:szCs w:val="16"/>
        </w:rPr>
        <w:t xml:space="preserve"> </w:t>
      </w:r>
      <w:r w:rsidRPr="00E95215">
        <w:rPr>
          <w:sz w:val="16"/>
          <w:szCs w:val="16"/>
        </w:rPr>
        <w:t xml:space="preserve">Accessed 17.08.2015. </w:t>
      </w:r>
    </w:p>
  </w:footnote>
  <w:footnote w:id="5">
    <w:p w:rsidR="00F21514" w:rsidRPr="00E95215" w:rsidRDefault="00F21514" w:rsidP="00504E63">
      <w:pPr>
        <w:pStyle w:val="FootnoteText"/>
        <w:contextualSpacing/>
        <w:rPr>
          <w:sz w:val="16"/>
          <w:szCs w:val="16"/>
        </w:rPr>
      </w:pPr>
      <w:r w:rsidRPr="00E95215">
        <w:rPr>
          <w:rStyle w:val="FootnoteReference"/>
          <w:sz w:val="16"/>
          <w:szCs w:val="16"/>
        </w:rPr>
        <w:footnoteRef/>
      </w:r>
      <w:r w:rsidRPr="00E95215">
        <w:rPr>
          <w:sz w:val="16"/>
          <w:szCs w:val="16"/>
        </w:rPr>
        <w:t xml:space="preserve"> </w:t>
      </w:r>
      <w:proofErr w:type="gramStart"/>
      <w:r w:rsidRPr="00E95215">
        <w:rPr>
          <w:sz w:val="16"/>
          <w:szCs w:val="16"/>
        </w:rPr>
        <w:t>Guiney H. et al. (2014).</w:t>
      </w:r>
      <w:proofErr w:type="gramEnd"/>
      <w:r w:rsidRPr="00E95215">
        <w:rPr>
          <w:sz w:val="16"/>
          <w:szCs w:val="16"/>
        </w:rPr>
        <w:t xml:space="preserve"> Alcohol-related attitudes in 2010, 2012, and 2014: Findings from the New Zealand Health Survey. Wellington: Health Promotion Agency Research and Evaluation Unit.</w:t>
      </w:r>
    </w:p>
  </w:footnote>
  <w:footnote w:id="6">
    <w:p w:rsidR="00E95215" w:rsidRPr="00E95215" w:rsidRDefault="00E95215">
      <w:pPr>
        <w:pStyle w:val="FootnoteText"/>
        <w:rPr>
          <w:sz w:val="16"/>
          <w:szCs w:val="16"/>
        </w:rPr>
      </w:pPr>
      <w:r w:rsidRPr="00E95215">
        <w:rPr>
          <w:rStyle w:val="FootnoteReference"/>
          <w:sz w:val="16"/>
          <w:szCs w:val="16"/>
        </w:rPr>
        <w:footnoteRef/>
      </w:r>
      <w:r w:rsidRPr="00E95215">
        <w:rPr>
          <w:sz w:val="16"/>
          <w:szCs w:val="16"/>
        </w:rPr>
        <w:t xml:space="preserve"> Babor T. et al. (2010). Alcohol No Ordinary Commodity: Research and Public Policy. </w:t>
      </w:r>
      <w:proofErr w:type="gramStart"/>
      <w:r w:rsidRPr="00E95215">
        <w:rPr>
          <w:sz w:val="16"/>
          <w:szCs w:val="16"/>
        </w:rPr>
        <w:t>2</w:t>
      </w:r>
      <w:r w:rsidRPr="00E95215">
        <w:rPr>
          <w:sz w:val="16"/>
          <w:szCs w:val="16"/>
          <w:vertAlign w:val="superscript"/>
        </w:rPr>
        <w:t>nd</w:t>
      </w:r>
      <w:r w:rsidRPr="00E95215">
        <w:rPr>
          <w:sz w:val="16"/>
          <w:szCs w:val="16"/>
        </w:rPr>
        <w:t xml:space="preserve"> ed. Oxford University.</w:t>
      </w:r>
      <w:proofErr w:type="gramEnd"/>
    </w:p>
  </w:footnote>
  <w:footnote w:id="7">
    <w:p w:rsidR="00E95215" w:rsidRPr="00E95215" w:rsidRDefault="00E95215">
      <w:pPr>
        <w:pStyle w:val="FootnoteText"/>
        <w:rPr>
          <w:sz w:val="16"/>
          <w:szCs w:val="16"/>
        </w:rPr>
      </w:pPr>
      <w:r w:rsidRPr="00E95215">
        <w:rPr>
          <w:rStyle w:val="FootnoteReference"/>
          <w:sz w:val="16"/>
          <w:szCs w:val="16"/>
        </w:rPr>
        <w:footnoteRef/>
      </w:r>
      <w:r w:rsidRPr="00E95215">
        <w:rPr>
          <w:sz w:val="16"/>
          <w:szCs w:val="16"/>
        </w:rPr>
        <w:t xml:space="preserve"> </w:t>
      </w:r>
      <w:proofErr w:type="gramStart"/>
      <w:r w:rsidRPr="00E95215">
        <w:rPr>
          <w:sz w:val="16"/>
          <w:szCs w:val="16"/>
        </w:rPr>
        <w:t>Guiney H. et al. (2014).</w:t>
      </w:r>
      <w:proofErr w:type="gramEnd"/>
      <w:r w:rsidRPr="00E95215">
        <w:rPr>
          <w:sz w:val="16"/>
          <w:szCs w:val="16"/>
        </w:rPr>
        <w:t xml:space="preserve"> Alcohol-related attitudes in 2010, 2012, and 2014: Findings from the New Zealand Health Survey. Wellington: Health Promotion Agency Research and Evaluation Unit.</w:t>
      </w:r>
    </w:p>
  </w:footnote>
  <w:footnote w:id="8">
    <w:p w:rsidR="00F21514" w:rsidRDefault="00F21514">
      <w:pPr>
        <w:pStyle w:val="FootnoteText"/>
      </w:pPr>
      <w:r w:rsidRPr="00E95215">
        <w:rPr>
          <w:rStyle w:val="FootnoteReference"/>
          <w:sz w:val="16"/>
          <w:szCs w:val="16"/>
        </w:rPr>
        <w:footnoteRef/>
      </w:r>
      <w:r w:rsidRPr="00E95215">
        <w:rPr>
          <w:sz w:val="16"/>
          <w:szCs w:val="16"/>
        </w:rPr>
        <w:t xml:space="preserve"> </w:t>
      </w:r>
      <w:proofErr w:type="gramStart"/>
      <w:r w:rsidRPr="00E95215">
        <w:rPr>
          <w:sz w:val="16"/>
          <w:szCs w:val="16"/>
        </w:rPr>
        <w:t>Ministerial Forum on Alcohol Advertising and Sponsorship.</w:t>
      </w:r>
      <w:proofErr w:type="gramEnd"/>
      <w:r w:rsidRPr="00E95215">
        <w:rPr>
          <w:sz w:val="16"/>
          <w:szCs w:val="16"/>
        </w:rPr>
        <w:t xml:space="preserve"> 2014. Recommendations on alcohol advertising and sponsorship. </w:t>
      </w:r>
      <w:hyperlink r:id="rId2" w:history="1">
        <w:r w:rsidRPr="00E95215">
          <w:rPr>
            <w:rStyle w:val="Hyperlink"/>
            <w:sz w:val="16"/>
            <w:szCs w:val="16"/>
          </w:rPr>
          <w:t>http://www.health.govt.nz/publication/ministerial-forum-alcohol-advertising</w:t>
        </w:r>
      </w:hyperlink>
      <w:r w:rsidRPr="00E95215">
        <w:rPr>
          <w:sz w:val="16"/>
          <w:szCs w:val="16"/>
        </w:rPr>
        <w:t xml:space="preserve"> Accessed 17.08.2015.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D7CBE"/>
    <w:multiLevelType w:val="hybridMultilevel"/>
    <w:tmpl w:val="9FAE3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67A6747"/>
    <w:multiLevelType w:val="hybridMultilevel"/>
    <w:tmpl w:val="4832F24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61181F"/>
    <w:multiLevelType w:val="hybridMultilevel"/>
    <w:tmpl w:val="115408D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4897"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6B1E2A2B"/>
    <w:multiLevelType w:val="hybridMultilevel"/>
    <w:tmpl w:val="C3CA9B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C71495F"/>
    <w:multiLevelType w:val="multilevel"/>
    <w:tmpl w:val="2056D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74556"/>
    <w:rsid w:val="00026159"/>
    <w:rsid w:val="00034BD1"/>
    <w:rsid w:val="0004595C"/>
    <w:rsid w:val="00046CD8"/>
    <w:rsid w:val="0005495D"/>
    <w:rsid w:val="00090951"/>
    <w:rsid w:val="000B027B"/>
    <w:rsid w:val="000E533B"/>
    <w:rsid w:val="00104F23"/>
    <w:rsid w:val="00146226"/>
    <w:rsid w:val="00170415"/>
    <w:rsid w:val="00180EE3"/>
    <w:rsid w:val="001F7872"/>
    <w:rsid w:val="00235C80"/>
    <w:rsid w:val="00247312"/>
    <w:rsid w:val="002B0286"/>
    <w:rsid w:val="002C5142"/>
    <w:rsid w:val="002C7AA4"/>
    <w:rsid w:val="00314F74"/>
    <w:rsid w:val="00374556"/>
    <w:rsid w:val="003816BE"/>
    <w:rsid w:val="00386512"/>
    <w:rsid w:val="00393580"/>
    <w:rsid w:val="003A73D8"/>
    <w:rsid w:val="003C39AC"/>
    <w:rsid w:val="004255C6"/>
    <w:rsid w:val="004344E8"/>
    <w:rsid w:val="00450C6F"/>
    <w:rsid w:val="00452614"/>
    <w:rsid w:val="00453A66"/>
    <w:rsid w:val="00456366"/>
    <w:rsid w:val="00487C91"/>
    <w:rsid w:val="00494FA2"/>
    <w:rsid w:val="004A29D3"/>
    <w:rsid w:val="004A72AB"/>
    <w:rsid w:val="004B2714"/>
    <w:rsid w:val="004E0A7B"/>
    <w:rsid w:val="00502051"/>
    <w:rsid w:val="00504E63"/>
    <w:rsid w:val="0050753F"/>
    <w:rsid w:val="00520596"/>
    <w:rsid w:val="0053770E"/>
    <w:rsid w:val="00543B19"/>
    <w:rsid w:val="00553BB8"/>
    <w:rsid w:val="0056422F"/>
    <w:rsid w:val="005A06B2"/>
    <w:rsid w:val="00606D4F"/>
    <w:rsid w:val="006120AA"/>
    <w:rsid w:val="00690AF8"/>
    <w:rsid w:val="00694EF7"/>
    <w:rsid w:val="006A08F9"/>
    <w:rsid w:val="006F2020"/>
    <w:rsid w:val="00706912"/>
    <w:rsid w:val="007146D3"/>
    <w:rsid w:val="007275E5"/>
    <w:rsid w:val="00773E7A"/>
    <w:rsid w:val="0078083B"/>
    <w:rsid w:val="007A5093"/>
    <w:rsid w:val="007C2987"/>
    <w:rsid w:val="00840D9E"/>
    <w:rsid w:val="008831A4"/>
    <w:rsid w:val="008B0EE7"/>
    <w:rsid w:val="008B67B5"/>
    <w:rsid w:val="0093299E"/>
    <w:rsid w:val="00933012"/>
    <w:rsid w:val="0098147C"/>
    <w:rsid w:val="0099054E"/>
    <w:rsid w:val="00993B69"/>
    <w:rsid w:val="009B6A67"/>
    <w:rsid w:val="009C280B"/>
    <w:rsid w:val="009F1192"/>
    <w:rsid w:val="00A32A84"/>
    <w:rsid w:val="00A3503C"/>
    <w:rsid w:val="00A8250D"/>
    <w:rsid w:val="00AA5C94"/>
    <w:rsid w:val="00AF4A64"/>
    <w:rsid w:val="00B356E4"/>
    <w:rsid w:val="00B40867"/>
    <w:rsid w:val="00B65691"/>
    <w:rsid w:val="00B74C39"/>
    <w:rsid w:val="00B831FD"/>
    <w:rsid w:val="00C211B3"/>
    <w:rsid w:val="00C36BB2"/>
    <w:rsid w:val="00C45F73"/>
    <w:rsid w:val="00C827F4"/>
    <w:rsid w:val="00CA20C6"/>
    <w:rsid w:val="00CB5743"/>
    <w:rsid w:val="00CC26BB"/>
    <w:rsid w:val="00CF7667"/>
    <w:rsid w:val="00D3183A"/>
    <w:rsid w:val="00D436AA"/>
    <w:rsid w:val="00D4755C"/>
    <w:rsid w:val="00D631E2"/>
    <w:rsid w:val="00D63451"/>
    <w:rsid w:val="00D72D3E"/>
    <w:rsid w:val="00D81B04"/>
    <w:rsid w:val="00DA3BC0"/>
    <w:rsid w:val="00DE4D3B"/>
    <w:rsid w:val="00E0406F"/>
    <w:rsid w:val="00E04092"/>
    <w:rsid w:val="00E52CBE"/>
    <w:rsid w:val="00E56B59"/>
    <w:rsid w:val="00E73407"/>
    <w:rsid w:val="00E95215"/>
    <w:rsid w:val="00E97F51"/>
    <w:rsid w:val="00EA3611"/>
    <w:rsid w:val="00EF146C"/>
    <w:rsid w:val="00EF3DAA"/>
    <w:rsid w:val="00EF5480"/>
    <w:rsid w:val="00F21514"/>
    <w:rsid w:val="00F215A0"/>
    <w:rsid w:val="00F77430"/>
    <w:rsid w:val="00F84564"/>
    <w:rsid w:val="00FC38EE"/>
    <w:rsid w:val="00FD551A"/>
    <w:rsid w:val="00FE7B9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012"/>
  </w:style>
  <w:style w:type="paragraph" w:styleId="Heading5">
    <w:name w:val="heading 5"/>
    <w:basedOn w:val="Normal"/>
    <w:link w:val="Heading5Char"/>
    <w:uiPriority w:val="9"/>
    <w:qFormat/>
    <w:rsid w:val="002B028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556"/>
    <w:pPr>
      <w:ind w:left="720"/>
      <w:contextualSpacing/>
    </w:pPr>
  </w:style>
  <w:style w:type="paragraph" w:styleId="NormalWeb">
    <w:name w:val="Normal (Web)"/>
    <w:basedOn w:val="Normal"/>
    <w:uiPriority w:val="99"/>
    <w:unhideWhenUsed/>
    <w:rsid w:val="00CB5743"/>
    <w:pPr>
      <w:spacing w:before="100" w:beforeAutospacing="1" w:after="100" w:afterAutospacing="1" w:line="240" w:lineRule="auto"/>
    </w:pPr>
    <w:rPr>
      <w:rFonts w:ascii="Tahoma" w:eastAsia="Times New Roman" w:hAnsi="Tahoma" w:cs="Tahoma"/>
      <w:color w:val="000080"/>
      <w:sz w:val="24"/>
      <w:szCs w:val="24"/>
      <w:lang w:eastAsia="en-NZ"/>
    </w:rPr>
  </w:style>
  <w:style w:type="character" w:styleId="CommentReference">
    <w:name w:val="annotation reference"/>
    <w:basedOn w:val="DefaultParagraphFont"/>
    <w:uiPriority w:val="99"/>
    <w:semiHidden/>
    <w:unhideWhenUsed/>
    <w:rsid w:val="00553BB8"/>
    <w:rPr>
      <w:sz w:val="16"/>
      <w:szCs w:val="16"/>
    </w:rPr>
  </w:style>
  <w:style w:type="paragraph" w:styleId="CommentText">
    <w:name w:val="annotation text"/>
    <w:basedOn w:val="Normal"/>
    <w:link w:val="CommentTextChar"/>
    <w:uiPriority w:val="99"/>
    <w:semiHidden/>
    <w:unhideWhenUsed/>
    <w:rsid w:val="00553BB8"/>
    <w:pPr>
      <w:spacing w:line="240" w:lineRule="auto"/>
    </w:pPr>
    <w:rPr>
      <w:sz w:val="20"/>
      <w:szCs w:val="20"/>
    </w:rPr>
  </w:style>
  <w:style w:type="character" w:customStyle="1" w:styleId="CommentTextChar">
    <w:name w:val="Comment Text Char"/>
    <w:basedOn w:val="DefaultParagraphFont"/>
    <w:link w:val="CommentText"/>
    <w:uiPriority w:val="99"/>
    <w:semiHidden/>
    <w:rsid w:val="00553BB8"/>
    <w:rPr>
      <w:sz w:val="20"/>
      <w:szCs w:val="20"/>
    </w:rPr>
  </w:style>
  <w:style w:type="paragraph" w:styleId="BalloonText">
    <w:name w:val="Balloon Text"/>
    <w:basedOn w:val="Normal"/>
    <w:link w:val="BalloonTextChar"/>
    <w:uiPriority w:val="99"/>
    <w:semiHidden/>
    <w:unhideWhenUsed/>
    <w:rsid w:val="00553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BB8"/>
    <w:rPr>
      <w:rFonts w:ascii="Tahoma" w:hAnsi="Tahoma" w:cs="Tahoma"/>
      <w:sz w:val="16"/>
      <w:szCs w:val="16"/>
    </w:rPr>
  </w:style>
  <w:style w:type="character" w:customStyle="1" w:styleId="Heading5Char">
    <w:name w:val="Heading 5 Char"/>
    <w:basedOn w:val="DefaultParagraphFont"/>
    <w:link w:val="Heading5"/>
    <w:uiPriority w:val="9"/>
    <w:rsid w:val="002B0286"/>
    <w:rPr>
      <w:rFonts w:ascii="Times New Roman" w:eastAsia="Times New Roman" w:hAnsi="Times New Roman" w:cs="Times New Roman"/>
      <w:b/>
      <w:bCs/>
      <w:sz w:val="20"/>
      <w:szCs w:val="20"/>
    </w:rPr>
  </w:style>
  <w:style w:type="paragraph" w:customStyle="1" w:styleId="labelled">
    <w:name w:val="labelled"/>
    <w:basedOn w:val="Normal"/>
    <w:rsid w:val="002B0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2B0286"/>
  </w:style>
  <w:style w:type="paragraph" w:styleId="FootnoteText">
    <w:name w:val="footnote text"/>
    <w:basedOn w:val="Normal"/>
    <w:link w:val="FootnoteTextChar"/>
    <w:uiPriority w:val="99"/>
    <w:semiHidden/>
    <w:unhideWhenUsed/>
    <w:rsid w:val="00773E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E7A"/>
    <w:rPr>
      <w:sz w:val="20"/>
      <w:szCs w:val="20"/>
    </w:rPr>
  </w:style>
  <w:style w:type="character" w:styleId="FootnoteReference">
    <w:name w:val="footnote reference"/>
    <w:basedOn w:val="DefaultParagraphFont"/>
    <w:uiPriority w:val="99"/>
    <w:semiHidden/>
    <w:unhideWhenUsed/>
    <w:rsid w:val="00773E7A"/>
    <w:rPr>
      <w:vertAlign w:val="superscript"/>
    </w:rPr>
  </w:style>
  <w:style w:type="table" w:styleId="TableGrid">
    <w:name w:val="Table Grid"/>
    <w:basedOn w:val="TableNormal"/>
    <w:uiPriority w:val="59"/>
    <w:rsid w:val="00E56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271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84564"/>
    <w:rPr>
      <w:b/>
      <w:bCs/>
    </w:rPr>
  </w:style>
  <w:style w:type="character" w:customStyle="1" w:styleId="CommentSubjectChar">
    <w:name w:val="Comment Subject Char"/>
    <w:basedOn w:val="CommentTextChar"/>
    <w:link w:val="CommentSubject"/>
    <w:uiPriority w:val="99"/>
    <w:semiHidden/>
    <w:rsid w:val="00F84564"/>
    <w:rPr>
      <w:b/>
      <w:bCs/>
    </w:rPr>
  </w:style>
  <w:style w:type="paragraph" w:styleId="EndnoteText">
    <w:name w:val="endnote text"/>
    <w:basedOn w:val="Normal"/>
    <w:link w:val="EndnoteTextChar"/>
    <w:uiPriority w:val="99"/>
    <w:semiHidden/>
    <w:unhideWhenUsed/>
    <w:rsid w:val="00543B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3B19"/>
    <w:rPr>
      <w:sz w:val="20"/>
      <w:szCs w:val="20"/>
    </w:rPr>
  </w:style>
  <w:style w:type="character" w:styleId="EndnoteReference">
    <w:name w:val="endnote reference"/>
    <w:basedOn w:val="DefaultParagraphFont"/>
    <w:uiPriority w:val="99"/>
    <w:semiHidden/>
    <w:unhideWhenUsed/>
    <w:rsid w:val="00543B19"/>
    <w:rPr>
      <w:vertAlign w:val="superscript"/>
    </w:rPr>
  </w:style>
  <w:style w:type="character" w:styleId="FollowedHyperlink">
    <w:name w:val="FollowedHyperlink"/>
    <w:basedOn w:val="DefaultParagraphFont"/>
    <w:uiPriority w:val="99"/>
    <w:semiHidden/>
    <w:unhideWhenUsed/>
    <w:rsid w:val="00543B19"/>
    <w:rPr>
      <w:color w:val="800080" w:themeColor="followedHyperlink"/>
      <w:u w:val="single"/>
    </w:rPr>
  </w:style>
  <w:style w:type="paragraph" w:styleId="Header">
    <w:name w:val="header"/>
    <w:basedOn w:val="Normal"/>
    <w:link w:val="HeaderChar"/>
    <w:uiPriority w:val="99"/>
    <w:semiHidden/>
    <w:unhideWhenUsed/>
    <w:rsid w:val="003865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6512"/>
  </w:style>
  <w:style w:type="paragraph" w:styleId="Footer">
    <w:name w:val="footer"/>
    <w:basedOn w:val="Normal"/>
    <w:link w:val="FooterChar"/>
    <w:uiPriority w:val="99"/>
    <w:unhideWhenUsed/>
    <w:rsid w:val="00386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512"/>
  </w:style>
  <w:style w:type="paragraph" w:customStyle="1" w:styleId="Framecontents">
    <w:name w:val="Frame contents"/>
    <w:basedOn w:val="BodyText"/>
    <w:rsid w:val="00453A66"/>
    <w:pPr>
      <w:widowControl w:val="0"/>
      <w:suppressAutoHyphens/>
      <w:spacing w:line="240" w:lineRule="auto"/>
    </w:pPr>
    <w:rPr>
      <w:rFonts w:ascii="Times New Roman" w:eastAsia="SimSun" w:hAnsi="Times New Roman" w:cs="Arial"/>
      <w:kern w:val="1"/>
      <w:sz w:val="24"/>
      <w:szCs w:val="24"/>
      <w:lang w:eastAsia="hi-IN" w:bidi="hi-IN"/>
    </w:rPr>
  </w:style>
  <w:style w:type="paragraph" w:styleId="BodyText">
    <w:name w:val="Body Text"/>
    <w:basedOn w:val="Normal"/>
    <w:link w:val="BodyTextChar"/>
    <w:uiPriority w:val="99"/>
    <w:semiHidden/>
    <w:unhideWhenUsed/>
    <w:rsid w:val="00453A66"/>
    <w:pPr>
      <w:spacing w:after="120"/>
    </w:pPr>
  </w:style>
  <w:style w:type="character" w:customStyle="1" w:styleId="BodyTextChar">
    <w:name w:val="Body Text Char"/>
    <w:basedOn w:val="DefaultParagraphFont"/>
    <w:link w:val="BodyText"/>
    <w:uiPriority w:val="99"/>
    <w:semiHidden/>
    <w:rsid w:val="00453A66"/>
  </w:style>
</w:styles>
</file>

<file path=word/webSettings.xml><?xml version="1.0" encoding="utf-8"?>
<w:webSettings xmlns:r="http://schemas.openxmlformats.org/officeDocument/2006/relationships" xmlns:w="http://schemas.openxmlformats.org/wordprocessingml/2006/main">
  <w:divs>
    <w:div w:id="1081560244">
      <w:bodyDiv w:val="1"/>
      <w:marLeft w:val="0"/>
      <w:marRight w:val="0"/>
      <w:marTop w:val="0"/>
      <w:marBottom w:val="0"/>
      <w:divBdr>
        <w:top w:val="none" w:sz="0" w:space="0" w:color="auto"/>
        <w:left w:val="none" w:sz="0" w:space="0" w:color="auto"/>
        <w:bottom w:val="none" w:sz="0" w:space="0" w:color="auto"/>
        <w:right w:val="none" w:sz="0" w:space="0" w:color="auto"/>
      </w:divBdr>
      <w:divsChild>
        <w:div w:id="343172012">
          <w:marLeft w:val="0"/>
          <w:marRight w:val="0"/>
          <w:marTop w:val="0"/>
          <w:marBottom w:val="0"/>
          <w:divBdr>
            <w:top w:val="none" w:sz="0" w:space="0" w:color="auto"/>
            <w:left w:val="none" w:sz="0" w:space="0" w:color="auto"/>
            <w:bottom w:val="none" w:sz="0" w:space="0" w:color="auto"/>
            <w:right w:val="none" w:sz="0" w:space="0" w:color="auto"/>
          </w:divBdr>
        </w:div>
        <w:div w:id="1463696493">
          <w:marLeft w:val="0"/>
          <w:marRight w:val="0"/>
          <w:marTop w:val="0"/>
          <w:marBottom w:val="0"/>
          <w:divBdr>
            <w:top w:val="none" w:sz="0" w:space="0" w:color="auto"/>
            <w:left w:val="none" w:sz="0" w:space="0" w:color="auto"/>
            <w:bottom w:val="none" w:sz="0" w:space="0" w:color="auto"/>
            <w:right w:val="none" w:sz="0" w:space="0" w:color="auto"/>
          </w:divBdr>
        </w:div>
      </w:divsChild>
    </w:div>
    <w:div w:id="111922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ect.committees@parliament.govt.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health.govt.nz/publication/ministerial-forum-alcohol-advertising" TargetMode="External"/><Relationship Id="rId1" Type="http://schemas.openxmlformats.org/officeDocument/2006/relationships/hyperlink" Target="http://www.beehive.govt.nz/release/changes-alcohol-laws-have-immediate-eff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FCC69-B3E5-4F78-A972-2838B5E48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U</dc:creator>
  <cp:lastModifiedBy>AHW</cp:lastModifiedBy>
  <cp:revision>39</cp:revision>
  <cp:lastPrinted>2015-08-17T02:33:00Z</cp:lastPrinted>
  <dcterms:created xsi:type="dcterms:W3CDTF">2015-08-16T22:38:00Z</dcterms:created>
  <dcterms:modified xsi:type="dcterms:W3CDTF">2015-08-17T05:15:00Z</dcterms:modified>
</cp:coreProperties>
</file>