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2E9" w:rsidRDefault="00D342E9" w:rsidP="00D342E9">
      <w:pPr>
        <w:rPr>
          <w:rFonts w:eastAsia="Times New Roman"/>
          <w:lang w:val="en-US" w:eastAsia="en-NZ"/>
        </w:rPr>
      </w:pPr>
      <w:r>
        <w:rPr>
          <w:rFonts w:eastAsia="Times New Roman"/>
          <w:b/>
          <w:bCs/>
          <w:lang w:val="en-US" w:eastAsia="en-NZ"/>
        </w:rPr>
        <w:t>From:</w:t>
      </w:r>
      <w:r>
        <w:rPr>
          <w:rFonts w:eastAsia="Times New Roman"/>
          <w:lang w:val="en-US" w:eastAsia="en-NZ"/>
        </w:rPr>
        <w:t xml:space="preserve"> Christine Rogan </w:t>
      </w:r>
      <w:r>
        <w:rPr>
          <w:rFonts w:eastAsia="Times New Roman"/>
          <w:lang w:val="en-US" w:eastAsia="en-NZ"/>
        </w:rPr>
        <w:br/>
      </w:r>
      <w:r>
        <w:rPr>
          <w:rFonts w:eastAsia="Times New Roman"/>
          <w:b/>
          <w:bCs/>
          <w:lang w:val="en-US" w:eastAsia="en-NZ"/>
        </w:rPr>
        <w:t>Sent:</w:t>
      </w:r>
      <w:r>
        <w:rPr>
          <w:rFonts w:eastAsia="Times New Roman"/>
          <w:lang w:val="en-US" w:eastAsia="en-NZ"/>
        </w:rPr>
        <w:t xml:space="preserve"> 31 March 2016 4:31 p.m.</w:t>
      </w:r>
      <w:r>
        <w:rPr>
          <w:rFonts w:eastAsia="Times New Roman"/>
          <w:lang w:val="en-US" w:eastAsia="en-NZ"/>
        </w:rPr>
        <w:br/>
      </w:r>
      <w:r>
        <w:rPr>
          <w:rFonts w:eastAsia="Times New Roman"/>
          <w:b/>
          <w:bCs/>
          <w:lang w:val="en-US" w:eastAsia="en-NZ"/>
        </w:rPr>
        <w:t>To:</w:t>
      </w:r>
      <w:r>
        <w:rPr>
          <w:rFonts w:eastAsia="Times New Roman"/>
          <w:lang w:val="en-US" w:eastAsia="en-NZ"/>
        </w:rPr>
        <w:t xml:space="preserve"> </w:t>
      </w:r>
      <w:proofErr w:type="spellStart"/>
      <w:r>
        <w:rPr>
          <w:rFonts w:eastAsia="Times New Roman"/>
          <w:lang w:val="en-US" w:eastAsia="en-NZ"/>
        </w:rPr>
        <w:t>Fannz</w:t>
      </w:r>
      <w:proofErr w:type="spellEnd"/>
      <w:r>
        <w:rPr>
          <w:rFonts w:eastAsia="Times New Roman"/>
          <w:lang w:val="en-US" w:eastAsia="en-NZ"/>
        </w:rPr>
        <w:t xml:space="preserve"> . &lt;fannz@ahw.org.nz&gt;</w:t>
      </w:r>
      <w:r>
        <w:rPr>
          <w:rFonts w:eastAsia="Times New Roman"/>
          <w:lang w:val="en-US" w:eastAsia="en-NZ"/>
        </w:rPr>
        <w:br/>
      </w:r>
      <w:r>
        <w:rPr>
          <w:rFonts w:eastAsia="Times New Roman"/>
          <w:b/>
          <w:bCs/>
          <w:lang w:val="en-US" w:eastAsia="en-NZ"/>
        </w:rPr>
        <w:t>Subject:</w:t>
      </w:r>
      <w:r>
        <w:rPr>
          <w:rFonts w:eastAsia="Times New Roman"/>
          <w:lang w:val="en-US" w:eastAsia="en-NZ"/>
        </w:rPr>
        <w:t xml:space="preserve"> FASD update 31 March 2016</w:t>
      </w:r>
    </w:p>
    <w:p w:rsidR="00D342E9" w:rsidRDefault="00D342E9" w:rsidP="00D342E9"/>
    <w:p w:rsidR="00D342E9" w:rsidRDefault="00D342E9" w:rsidP="00D342E9">
      <w:r>
        <w:t xml:space="preserve">Kia </w:t>
      </w:r>
      <w:proofErr w:type="spellStart"/>
      <w:r>
        <w:t>ora</w:t>
      </w:r>
      <w:proofErr w:type="spellEnd"/>
      <w:r>
        <w:t xml:space="preserve"> FANNZ</w:t>
      </w:r>
    </w:p>
    <w:p w:rsidR="00D342E9" w:rsidRDefault="00D342E9" w:rsidP="00D342E9">
      <w:r>
        <w:t xml:space="preserve">This update pays tribute to the </w:t>
      </w:r>
      <w:r>
        <w:rPr>
          <w:i/>
          <w:iCs/>
        </w:rPr>
        <w:t>RIGHT</w:t>
      </w:r>
      <w:r>
        <w:t xml:space="preserve"> to justice of all those with FASD and honours those who work hard on their behalf. In </w:t>
      </w:r>
      <w:proofErr w:type="gramStart"/>
      <w:r>
        <w:t>particular</w:t>
      </w:r>
      <w:proofErr w:type="gramEnd"/>
      <w:r>
        <w:t xml:space="preserve"> it applauds the fight to free Mr Teina Anthony Pora, a loving, humble, beautiful person with FASD, from the tyranny of injustice he endured for 23 years.     </w:t>
      </w:r>
    </w:p>
    <w:p w:rsidR="00D342E9" w:rsidRDefault="00D342E9" w:rsidP="00D342E9"/>
    <w:p w:rsidR="00D342E9" w:rsidRDefault="00D342E9" w:rsidP="00D342E9">
      <w:pPr>
        <w:rPr>
          <w:b/>
          <w:bCs/>
        </w:rPr>
      </w:pPr>
      <w:r>
        <w:rPr>
          <w:b/>
          <w:bCs/>
        </w:rPr>
        <w:t xml:space="preserve">In Dark Places – The confessions of Teina Pora and an Ex-Cop’s Fight for Justice </w:t>
      </w:r>
    </w:p>
    <w:p w:rsidR="00D342E9" w:rsidRDefault="00D342E9" w:rsidP="00D342E9">
      <w:r>
        <w:t xml:space="preserve">This book, by Journalist Michael Bennett documents the years of ‘Something deeply amiss…’ in the Pora case. The fight for justice culminates in </w:t>
      </w:r>
      <w:proofErr w:type="spellStart"/>
      <w:r>
        <w:t>Teina’s</w:t>
      </w:r>
      <w:proofErr w:type="spellEnd"/>
      <w:r>
        <w:t xml:space="preserve"> eventual diagnosis of FASD, providing crucial missing evidence for the Privy Council to unequivocally quash his conviction.  This was the key to answering the question posed at the beginning of the book, </w:t>
      </w:r>
      <w:r>
        <w:rPr>
          <w:i/>
          <w:iCs/>
        </w:rPr>
        <w:t>“Why did Teina Pora walk into the interview room and start that conversation with the cops? Why did he steadily dig himself deeper and deeper into a hole there was no climbing out of?”</w:t>
      </w:r>
      <w:r>
        <w:t xml:space="preserve"> (p 11).  </w:t>
      </w:r>
    </w:p>
    <w:p w:rsidR="00D342E9" w:rsidRDefault="00D342E9" w:rsidP="00D342E9">
      <w:r>
        <w:t xml:space="preserve">Published by Paul Little Books </w:t>
      </w:r>
      <w:hyperlink r:id="rId4" w:history="1">
        <w:r>
          <w:rPr>
            <w:rStyle w:val="Hyperlink"/>
          </w:rPr>
          <w:t>www.paullittlebooks.co.nz</w:t>
        </w:r>
      </w:hyperlink>
      <w:r>
        <w:t xml:space="preserve"> and available in all good book stores, this is a must read for everyone who cares about knowledge and justice for all.   </w:t>
      </w:r>
    </w:p>
    <w:p w:rsidR="00D342E9" w:rsidRDefault="00D342E9" w:rsidP="00D342E9"/>
    <w:p w:rsidR="00D342E9" w:rsidRDefault="00D342E9" w:rsidP="00D342E9">
      <w:pPr>
        <w:rPr>
          <w:b/>
          <w:bCs/>
        </w:rPr>
      </w:pPr>
      <w:r>
        <w:rPr>
          <w:b/>
          <w:bCs/>
        </w:rPr>
        <w:t>FASD and Suggestibility – Tips for criminal justice interviewers</w:t>
      </w:r>
    </w:p>
    <w:p w:rsidR="00D342E9" w:rsidRDefault="00D342E9" w:rsidP="00D342E9">
      <w:pPr>
        <w:autoSpaceDE w:val="0"/>
        <w:autoSpaceDN w:val="0"/>
      </w:pPr>
      <w:r>
        <w:t>If ever there was a case to illustrate the perils of suggestibility for a person with FASD, it was the false confessions of Teina Pora and his subsequent conviction for a terrible crime he did not commit. S</w:t>
      </w:r>
      <w:r>
        <w:rPr>
          <w:i/>
          <w:iCs/>
        </w:rPr>
        <w:t xml:space="preserve">uggestibility </w:t>
      </w:r>
      <w:r>
        <w:t xml:space="preserve">is defined as </w:t>
      </w:r>
      <w:r>
        <w:rPr>
          <w:i/>
          <w:iCs/>
        </w:rPr>
        <w:t xml:space="preserve">‘The ability to be easily persuaded to take another’s position </w:t>
      </w:r>
      <w:r>
        <w:t xml:space="preserve">(Clare &amp; </w:t>
      </w:r>
      <w:proofErr w:type="spellStart"/>
      <w:r>
        <w:t>Gudjonsson</w:t>
      </w:r>
      <w:proofErr w:type="spellEnd"/>
      <w:r>
        <w:t xml:space="preserve">, 1993).  An article published in the </w:t>
      </w:r>
      <w:hyperlink r:id="rId5" w:history="1">
        <w:r>
          <w:rPr>
            <w:rStyle w:val="Hyperlink"/>
          </w:rPr>
          <w:t>Journal of Law Enforcement by Brown et al (2016)</w:t>
        </w:r>
      </w:hyperlink>
      <w:r>
        <w:t xml:space="preserve">  explains the inherent risk of suggestibility for those with FASD and tips on how this can be avoided. </w:t>
      </w:r>
    </w:p>
    <w:p w:rsidR="00D342E9" w:rsidRDefault="00D342E9" w:rsidP="00D342E9">
      <w:pPr>
        <w:autoSpaceDE w:val="0"/>
        <w:autoSpaceDN w:val="0"/>
      </w:pPr>
    </w:p>
    <w:p w:rsidR="00D342E9" w:rsidRDefault="00D342E9" w:rsidP="00D342E9">
      <w:pPr>
        <w:autoSpaceDE w:val="0"/>
        <w:autoSpaceDN w:val="0"/>
        <w:rPr>
          <w:b/>
          <w:bCs/>
          <w:color w:val="000000"/>
          <w:shd w:val="clear" w:color="auto" w:fill="FFFFFF"/>
        </w:rPr>
      </w:pPr>
      <w:r>
        <w:rPr>
          <w:b/>
          <w:bCs/>
          <w:color w:val="000000"/>
          <w:shd w:val="clear" w:color="auto" w:fill="FFFFFF"/>
        </w:rPr>
        <w:t xml:space="preserve">Positive factors associated with reduced contact with criminal justice </w:t>
      </w:r>
    </w:p>
    <w:p w:rsidR="00D342E9" w:rsidRDefault="00D342E9" w:rsidP="00D342E9">
      <w:pPr>
        <w:autoSpaceDE w:val="0"/>
        <w:autoSpaceDN w:val="0"/>
      </w:pPr>
      <w:r>
        <w:rPr>
          <w:color w:val="000000"/>
          <w:shd w:val="clear" w:color="auto" w:fill="FFFFFF"/>
        </w:rPr>
        <w:t xml:space="preserve">Confirming earlier studies, a study of a small group of adults with FASD involved with the criminal justice system (CJS) in Ontario Canada, has found that early diagnosis and lower substance use were factors associated with reduced contact with the CJS. </w:t>
      </w:r>
      <w:hyperlink r:id="rId6" w:history="1">
        <w:r>
          <w:rPr>
            <w:rStyle w:val="Hyperlink"/>
            <w:shd w:val="clear" w:color="auto" w:fill="FFFFFF"/>
          </w:rPr>
          <w:t>http://www.jptcp.com/pubmed.php?articleId=530</w:t>
        </w:r>
      </w:hyperlink>
      <w:r>
        <w:rPr>
          <w:rStyle w:val="apple-converted-space"/>
          <w:color w:val="000000"/>
          <w:shd w:val="clear" w:color="auto" w:fill="FFFFFF"/>
        </w:rPr>
        <w:t xml:space="preserve"> </w:t>
      </w:r>
    </w:p>
    <w:p w:rsidR="00D342E9" w:rsidRDefault="00D342E9" w:rsidP="00D342E9"/>
    <w:p w:rsidR="00D342E9" w:rsidRDefault="00D342E9" w:rsidP="00D342E9">
      <w:pPr>
        <w:rPr>
          <w:b/>
          <w:bCs/>
        </w:rPr>
      </w:pPr>
      <w:r>
        <w:rPr>
          <w:b/>
          <w:bCs/>
        </w:rPr>
        <w:t xml:space="preserve">Learning about FASD and justice from NZ and other countries’ experiences </w:t>
      </w:r>
    </w:p>
    <w:p w:rsidR="00D342E9" w:rsidRDefault="00D342E9" w:rsidP="00D342E9">
      <w:r>
        <w:t>In 2015, West Australian Children’s Magistrate Catherine Crawford, visited New Zealand, Canada and the USA to learn more about FASD assessment and judicial practices. Her comprehensive report is available to download:</w:t>
      </w:r>
    </w:p>
    <w:p w:rsidR="00D342E9" w:rsidRDefault="00D342E9" w:rsidP="00D342E9">
      <w:hyperlink r:id="rId7" w:history="1">
        <w:r>
          <w:rPr>
            <w:rStyle w:val="Hyperlink"/>
          </w:rPr>
          <w:t>https://www.churchilltrust.com.au/media/fellows/Crawford_C_2014_Youth_affected_by_fetal_alcohol_spectrum_in_criminal_justice_system_2.pdf</w:t>
        </w:r>
      </w:hyperlink>
      <w:r>
        <w:t xml:space="preserve"> </w:t>
      </w:r>
    </w:p>
    <w:p w:rsidR="00D342E9" w:rsidRDefault="00D342E9" w:rsidP="00D342E9"/>
    <w:p w:rsidR="00D342E9" w:rsidRDefault="00D342E9" w:rsidP="00D342E9">
      <w:pPr>
        <w:rPr>
          <w:b/>
          <w:bCs/>
        </w:rPr>
      </w:pPr>
      <w:r>
        <w:rPr>
          <w:b/>
          <w:bCs/>
        </w:rPr>
        <w:t>FASD Case Law Internationally</w:t>
      </w:r>
    </w:p>
    <w:p w:rsidR="00D342E9" w:rsidRDefault="00D342E9" w:rsidP="00D342E9">
      <w:pPr>
        <w:rPr>
          <w:color w:val="2E2E2E"/>
          <w:shd w:val="clear" w:color="auto" w:fill="FFFFFF"/>
        </w:rPr>
      </w:pPr>
      <w:r>
        <w:rPr>
          <w:color w:val="2E2E2E"/>
          <w:shd w:val="clear" w:color="auto" w:fill="FFFFFF"/>
        </w:rPr>
        <w:t xml:space="preserve">There is now a significant body of sentencing law that advocates and judicial officers can rely, based upon expert opinions provided by mental health assessors, when imposing sentences upon offenders with FASDs </w:t>
      </w:r>
      <w:hyperlink r:id="rId8" w:history="1">
        <w:r>
          <w:rPr>
            <w:rStyle w:val="Hyperlink"/>
          </w:rPr>
          <w:t>http://www.sciencedirect.com/science/article/pii/S2352552516000086</w:t>
        </w:r>
      </w:hyperlink>
      <w:r>
        <w:t xml:space="preserve"> (</w:t>
      </w:r>
      <w:r>
        <w:rPr>
          <w:color w:val="2E2E2E"/>
          <w:shd w:val="clear" w:color="auto" w:fill="FFFFFF"/>
        </w:rPr>
        <w:t>abstract only).</w:t>
      </w:r>
    </w:p>
    <w:p w:rsidR="00D342E9" w:rsidRDefault="00D342E9" w:rsidP="00D342E9">
      <w:pPr>
        <w:rPr>
          <w:rFonts w:ascii="Arial" w:hAnsi="Arial" w:cs="Arial"/>
          <w:color w:val="2E2E2E"/>
          <w:shd w:val="clear" w:color="auto" w:fill="FFFFFF"/>
        </w:rPr>
      </w:pPr>
    </w:p>
    <w:p w:rsidR="00D342E9" w:rsidRDefault="00D342E9" w:rsidP="00D342E9">
      <w:pPr>
        <w:rPr>
          <w:rFonts w:ascii="Arial" w:hAnsi="Arial" w:cs="Arial"/>
          <w:color w:val="2E2E2E"/>
          <w:shd w:val="clear" w:color="auto" w:fill="FFFFFF"/>
        </w:rPr>
      </w:pPr>
      <w:r>
        <w:rPr>
          <w:b/>
          <w:bCs/>
          <w:color w:val="2E2E2E"/>
          <w:shd w:val="clear" w:color="auto" w:fill="FFFFFF"/>
        </w:rPr>
        <w:t>Low life expectancy found for those with FAS</w:t>
      </w:r>
      <w:r>
        <w:rPr>
          <w:rFonts w:ascii="Arial" w:hAnsi="Arial" w:cs="Arial"/>
          <w:color w:val="2E2E2E"/>
          <w:shd w:val="clear" w:color="auto" w:fill="FFFFFF"/>
        </w:rPr>
        <w:t>.</w:t>
      </w:r>
    </w:p>
    <w:p w:rsidR="00D342E9" w:rsidRDefault="00D342E9" w:rsidP="00D342E9">
      <w:pPr>
        <w:rPr>
          <w:color w:val="2E2E2E"/>
          <w:shd w:val="clear" w:color="auto" w:fill="FFFFFF"/>
        </w:rPr>
      </w:pPr>
      <w:r>
        <w:rPr>
          <w:color w:val="2E2E2E"/>
          <w:shd w:val="clear" w:color="auto" w:fill="FFFFFF"/>
        </w:rPr>
        <w:t xml:space="preserve">Not to end this update on a negative note but a Canadian study indicating an average life expectancy of 34 years for those with </w:t>
      </w:r>
      <w:proofErr w:type="spellStart"/>
      <w:r>
        <w:rPr>
          <w:color w:val="2E2E2E"/>
          <w:shd w:val="clear" w:color="auto" w:fill="FFFFFF"/>
        </w:rPr>
        <w:t>Fetal</w:t>
      </w:r>
      <w:proofErr w:type="spellEnd"/>
      <w:r>
        <w:rPr>
          <w:color w:val="2E2E2E"/>
          <w:shd w:val="clear" w:color="auto" w:fill="FFFFFF"/>
        </w:rPr>
        <w:t xml:space="preserve"> Alcohol Syndrome makes grim reading.  </w:t>
      </w:r>
    </w:p>
    <w:p w:rsidR="00D342E9" w:rsidRDefault="00D342E9" w:rsidP="00D342E9">
      <w:pPr>
        <w:rPr>
          <w:rFonts w:ascii="Arial" w:hAnsi="Arial" w:cs="Arial"/>
          <w:color w:val="000000"/>
          <w:sz w:val="20"/>
          <w:szCs w:val="20"/>
          <w:lang w:eastAsia="en-NZ"/>
        </w:rPr>
      </w:pPr>
      <w:hyperlink r:id="rId9" w:history="1">
        <w:r>
          <w:rPr>
            <w:rStyle w:val="Hyperlink"/>
            <w:rFonts w:ascii="Arial" w:hAnsi="Arial" w:cs="Arial"/>
            <w:sz w:val="20"/>
            <w:szCs w:val="20"/>
            <w:lang w:eastAsia="en-NZ"/>
          </w:rPr>
          <w:t xml:space="preserve">Life Expectancy of People with </w:t>
        </w:r>
        <w:proofErr w:type="spellStart"/>
        <w:r>
          <w:rPr>
            <w:rStyle w:val="Hyperlink"/>
            <w:rFonts w:ascii="Arial" w:hAnsi="Arial" w:cs="Arial"/>
            <w:sz w:val="20"/>
            <w:szCs w:val="20"/>
            <w:lang w:eastAsia="en-NZ"/>
          </w:rPr>
          <w:t>Fetal</w:t>
        </w:r>
        <w:proofErr w:type="spellEnd"/>
        <w:r>
          <w:rPr>
            <w:rStyle w:val="Hyperlink"/>
            <w:rFonts w:ascii="Arial" w:hAnsi="Arial" w:cs="Arial"/>
            <w:sz w:val="20"/>
            <w:szCs w:val="20"/>
            <w:lang w:eastAsia="en-NZ"/>
          </w:rPr>
          <w:t xml:space="preserve"> Alcohol Syndrome</w:t>
        </w:r>
      </w:hyperlink>
      <w:r>
        <w:rPr>
          <w:rFonts w:ascii="Arial" w:hAnsi="Arial" w:cs="Arial"/>
          <w:color w:val="000000"/>
          <w:sz w:val="20"/>
          <w:szCs w:val="20"/>
          <w:lang w:eastAsia="en-NZ"/>
        </w:rPr>
        <w:t xml:space="preserve">. </w:t>
      </w:r>
      <w:proofErr w:type="spellStart"/>
      <w:r>
        <w:rPr>
          <w:rFonts w:ascii="Arial" w:hAnsi="Arial" w:cs="Arial"/>
          <w:color w:val="000000"/>
          <w:sz w:val="20"/>
          <w:szCs w:val="20"/>
          <w:lang w:eastAsia="en-NZ"/>
        </w:rPr>
        <w:t>Thanh</w:t>
      </w:r>
      <w:proofErr w:type="spellEnd"/>
      <w:r>
        <w:rPr>
          <w:rFonts w:ascii="Arial" w:hAnsi="Arial" w:cs="Arial"/>
          <w:color w:val="000000"/>
          <w:sz w:val="20"/>
          <w:szCs w:val="20"/>
          <w:lang w:eastAsia="en-NZ"/>
        </w:rPr>
        <w:t xml:space="preserve"> &amp; </w:t>
      </w:r>
      <w:proofErr w:type="spellStart"/>
      <w:r>
        <w:rPr>
          <w:rFonts w:ascii="Arial" w:hAnsi="Arial" w:cs="Arial"/>
          <w:color w:val="000000"/>
          <w:sz w:val="20"/>
          <w:szCs w:val="20"/>
          <w:lang w:eastAsia="en-NZ"/>
        </w:rPr>
        <w:t>Jonsson</w:t>
      </w:r>
      <w:proofErr w:type="spellEnd"/>
      <w:r>
        <w:rPr>
          <w:rFonts w:ascii="Arial" w:hAnsi="Arial" w:cs="Arial"/>
          <w:color w:val="000000"/>
          <w:sz w:val="20"/>
          <w:szCs w:val="20"/>
          <w:lang w:eastAsia="en-NZ"/>
        </w:rPr>
        <w:t xml:space="preserve"> (2016).</w:t>
      </w:r>
    </w:p>
    <w:p w:rsidR="00D342E9" w:rsidRDefault="00D342E9" w:rsidP="00D342E9">
      <w:pPr>
        <w:rPr>
          <w:color w:val="2E2E2E"/>
          <w:shd w:val="clear" w:color="auto" w:fill="FFFFFF"/>
        </w:rPr>
      </w:pPr>
      <w:r>
        <w:rPr>
          <w:color w:val="2E2E2E"/>
          <w:shd w:val="clear" w:color="auto" w:fill="FFFFFF"/>
        </w:rPr>
        <w:t xml:space="preserve">The good news it is largely </w:t>
      </w:r>
      <w:r>
        <w:rPr>
          <w:b/>
          <w:bCs/>
          <w:i/>
          <w:iCs/>
          <w:color w:val="2E2E2E"/>
          <w:sz w:val="24"/>
          <w:szCs w:val="24"/>
          <w:shd w:val="clear" w:color="auto" w:fill="FFFFFF"/>
        </w:rPr>
        <w:t>preventable!</w:t>
      </w:r>
    </w:p>
    <w:p w:rsidR="00D342E9" w:rsidRDefault="00D342E9" w:rsidP="00D342E9">
      <w:pPr>
        <w:rPr>
          <w:rFonts w:ascii="Arial" w:hAnsi="Arial" w:cs="Arial"/>
          <w:sz w:val="18"/>
          <w:szCs w:val="18"/>
          <w:lang w:val="en-US" w:eastAsia="en-NZ"/>
        </w:rPr>
      </w:pPr>
    </w:p>
    <w:p w:rsidR="00D342E9" w:rsidRDefault="00D342E9" w:rsidP="00D342E9">
      <w:pPr>
        <w:rPr>
          <w:rFonts w:ascii="Arial" w:hAnsi="Arial" w:cs="Arial"/>
          <w:sz w:val="18"/>
          <w:szCs w:val="18"/>
          <w:lang w:val="en-US" w:eastAsia="en-NZ"/>
        </w:rPr>
      </w:pPr>
      <w:r>
        <w:rPr>
          <w:rFonts w:ascii="Arial" w:hAnsi="Arial" w:cs="Arial"/>
          <w:sz w:val="18"/>
          <w:szCs w:val="18"/>
          <w:lang w:val="en-US" w:eastAsia="en-NZ"/>
        </w:rPr>
        <w:t xml:space="preserve">Kia </w:t>
      </w:r>
      <w:proofErr w:type="spellStart"/>
      <w:r>
        <w:rPr>
          <w:rFonts w:ascii="Arial" w:hAnsi="Arial" w:cs="Arial"/>
          <w:sz w:val="18"/>
          <w:szCs w:val="18"/>
          <w:lang w:val="en-US" w:eastAsia="en-NZ"/>
        </w:rPr>
        <w:t>kaha</w:t>
      </w:r>
      <w:proofErr w:type="spellEnd"/>
    </w:p>
    <w:p w:rsidR="00D342E9" w:rsidRDefault="00D342E9" w:rsidP="00D342E9">
      <w:pPr>
        <w:rPr>
          <w:rFonts w:ascii="Arial" w:hAnsi="Arial" w:cs="Arial"/>
          <w:sz w:val="18"/>
          <w:szCs w:val="18"/>
          <w:lang w:val="en-US" w:eastAsia="en-NZ"/>
        </w:rPr>
      </w:pPr>
      <w:r>
        <w:rPr>
          <w:rFonts w:ascii="Arial" w:hAnsi="Arial" w:cs="Arial"/>
          <w:sz w:val="18"/>
          <w:szCs w:val="18"/>
          <w:lang w:val="en-US" w:eastAsia="en-NZ"/>
        </w:rPr>
        <w:t>Christine Rogan</w:t>
      </w:r>
    </w:p>
    <w:p w:rsidR="00D342E9" w:rsidRDefault="00D342E9" w:rsidP="00D342E9">
      <w:pPr>
        <w:rPr>
          <w:rFonts w:ascii="Arial" w:hAnsi="Arial" w:cs="Arial"/>
          <w:sz w:val="18"/>
          <w:szCs w:val="18"/>
          <w:lang w:val="en-US" w:eastAsia="en-NZ"/>
        </w:rPr>
      </w:pPr>
      <w:r>
        <w:rPr>
          <w:rFonts w:ascii="Arial" w:hAnsi="Arial" w:cs="Arial"/>
          <w:sz w:val="18"/>
          <w:szCs w:val="18"/>
          <w:lang w:val="en-US" w:eastAsia="en-NZ"/>
        </w:rPr>
        <w:t>Health Promotion Advisor and FASD Project Coordinator</w:t>
      </w:r>
    </w:p>
    <w:p w:rsidR="00D342E9" w:rsidRDefault="00D342E9" w:rsidP="00D342E9">
      <w:pPr>
        <w:spacing w:line="252" w:lineRule="auto"/>
        <w:rPr>
          <w:rFonts w:ascii="Times New Roman" w:hAnsi="Times New Roman"/>
          <w:sz w:val="24"/>
          <w:szCs w:val="24"/>
          <w:lang w:val="en-US" w:eastAsia="en-NZ"/>
        </w:rPr>
      </w:pPr>
      <w:r>
        <w:rPr>
          <w:rFonts w:ascii="Times New Roman" w:hAnsi="Times New Roman"/>
          <w:noProof/>
          <w:sz w:val="24"/>
          <w:szCs w:val="24"/>
          <w:lang w:eastAsia="en-NZ"/>
        </w:rPr>
        <w:drawing>
          <wp:inline distT="0" distB="0" distL="0" distR="0">
            <wp:extent cx="147828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8280" cy="495300"/>
                    </a:xfrm>
                    <a:prstGeom prst="rect">
                      <a:avLst/>
                    </a:prstGeom>
                    <a:noFill/>
                    <a:ln>
                      <a:noFill/>
                    </a:ln>
                  </pic:spPr>
                </pic:pic>
              </a:graphicData>
            </a:graphic>
          </wp:inline>
        </w:drawing>
      </w:r>
    </w:p>
    <w:p w:rsidR="00D342E9" w:rsidRDefault="00D342E9" w:rsidP="00D342E9">
      <w:pPr>
        <w:spacing w:line="252" w:lineRule="auto"/>
        <w:rPr>
          <w:rFonts w:ascii="Wingdings" w:hAnsi="Wingdings"/>
          <w:color w:val="990099"/>
          <w:sz w:val="18"/>
          <w:szCs w:val="18"/>
          <w:lang w:val="en-US" w:eastAsia="en-NZ"/>
        </w:rPr>
      </w:pPr>
      <w:r>
        <w:rPr>
          <w:color w:val="990099"/>
          <w:sz w:val="18"/>
          <w:szCs w:val="18"/>
          <w:lang w:val="en-US" w:eastAsia="en-NZ"/>
        </w:rPr>
        <w:t xml:space="preserve">Level 1, 27 </w:t>
      </w:r>
      <w:proofErr w:type="spellStart"/>
      <w:r>
        <w:rPr>
          <w:color w:val="990099"/>
          <w:sz w:val="18"/>
          <w:szCs w:val="18"/>
          <w:lang w:val="en-US" w:eastAsia="en-NZ"/>
        </w:rPr>
        <w:t>Gillies</w:t>
      </w:r>
      <w:proofErr w:type="spellEnd"/>
      <w:r>
        <w:rPr>
          <w:color w:val="990099"/>
          <w:sz w:val="18"/>
          <w:szCs w:val="18"/>
          <w:lang w:val="en-US" w:eastAsia="en-NZ"/>
        </w:rPr>
        <w:t xml:space="preserve"> Ave, Newmarket, Auckland</w:t>
      </w:r>
    </w:p>
    <w:p w:rsidR="00D342E9" w:rsidRDefault="00D342E9" w:rsidP="00D342E9">
      <w:pPr>
        <w:spacing w:line="252" w:lineRule="auto"/>
        <w:rPr>
          <w:color w:val="990099"/>
          <w:sz w:val="18"/>
          <w:szCs w:val="18"/>
          <w:lang w:val="en-US" w:eastAsia="en-NZ"/>
        </w:rPr>
      </w:pPr>
      <w:r>
        <w:rPr>
          <w:rFonts w:ascii="Wingdings" w:hAnsi="Wingdings"/>
          <w:color w:val="990099"/>
          <w:sz w:val="18"/>
          <w:szCs w:val="18"/>
          <w:lang w:val="en-US" w:eastAsia="en-NZ"/>
        </w:rPr>
        <w:t></w:t>
      </w:r>
      <w:r>
        <w:rPr>
          <w:color w:val="990099"/>
          <w:sz w:val="18"/>
          <w:szCs w:val="18"/>
          <w:lang w:val="en-US" w:eastAsia="en-NZ"/>
        </w:rPr>
        <w:t>: P.O. Box 99407, Newmarket, Auckland 1149</w:t>
      </w:r>
    </w:p>
    <w:p w:rsidR="00D342E9" w:rsidRDefault="00D342E9" w:rsidP="00D342E9">
      <w:pPr>
        <w:spacing w:line="252" w:lineRule="auto"/>
        <w:rPr>
          <w:color w:val="5F497A"/>
          <w:lang w:val="en-US" w:eastAsia="en-NZ"/>
        </w:rPr>
      </w:pPr>
      <w:r>
        <w:rPr>
          <w:rFonts w:ascii="Wingdings" w:hAnsi="Wingdings"/>
          <w:color w:val="990099"/>
          <w:sz w:val="18"/>
          <w:szCs w:val="18"/>
          <w:lang w:val="en-US" w:eastAsia="en-NZ"/>
        </w:rPr>
        <w:t></w:t>
      </w:r>
      <w:r>
        <w:rPr>
          <w:color w:val="990099"/>
          <w:sz w:val="18"/>
          <w:szCs w:val="18"/>
          <w:lang w:val="en-US" w:eastAsia="en-NZ"/>
        </w:rPr>
        <w:t xml:space="preserve">: (09) 520 7037 I </w:t>
      </w:r>
      <w:hyperlink r:id="rId11" w:history="1">
        <w:r>
          <w:rPr>
            <w:rStyle w:val="Hyperlink"/>
            <w:color w:val="0000FF"/>
            <w:sz w:val="18"/>
            <w:szCs w:val="18"/>
            <w:lang w:val="en-US" w:eastAsia="en-NZ"/>
          </w:rPr>
          <w:t>christine@ahw.org.nz</w:t>
        </w:r>
      </w:hyperlink>
    </w:p>
    <w:p w:rsidR="00D342E9" w:rsidRDefault="00D342E9" w:rsidP="00D342E9">
      <w:pPr>
        <w:spacing w:line="252" w:lineRule="auto"/>
        <w:rPr>
          <w:color w:val="A13F00"/>
          <w:sz w:val="20"/>
          <w:szCs w:val="20"/>
          <w:lang w:val="en-US" w:eastAsia="en-NZ"/>
        </w:rPr>
      </w:pPr>
      <w:r>
        <w:rPr>
          <w:rFonts w:ascii="Wingdings" w:hAnsi="Wingdings"/>
          <w:color w:val="990099"/>
          <w:sz w:val="18"/>
          <w:szCs w:val="18"/>
          <w:lang w:val="en-US" w:eastAsia="en-NZ"/>
        </w:rPr>
        <w:t></w:t>
      </w:r>
      <w:r>
        <w:rPr>
          <w:color w:val="990099"/>
          <w:sz w:val="18"/>
          <w:szCs w:val="18"/>
          <w:lang w:val="en-US" w:eastAsia="en-NZ"/>
        </w:rPr>
        <w:t xml:space="preserve">: </w:t>
      </w:r>
      <w:hyperlink r:id="rId12" w:history="1">
        <w:r>
          <w:rPr>
            <w:rStyle w:val="Hyperlink"/>
            <w:color w:val="0000FF"/>
            <w:sz w:val="18"/>
            <w:szCs w:val="18"/>
            <w:lang w:val="en-US" w:eastAsia="en-NZ"/>
          </w:rPr>
          <w:t>www.ahw.org.nz</w:t>
        </w:r>
      </w:hyperlink>
      <w:r>
        <w:rPr>
          <w:color w:val="A13F00"/>
          <w:sz w:val="20"/>
          <w:szCs w:val="20"/>
          <w:lang w:val="en-US" w:eastAsia="en-NZ"/>
        </w:rPr>
        <w:t xml:space="preserve">  </w:t>
      </w:r>
      <w:hyperlink r:id="rId13" w:history="1">
        <w:r>
          <w:rPr>
            <w:rStyle w:val="Hyperlink"/>
            <w:color w:val="0000FF"/>
            <w:sz w:val="18"/>
            <w:szCs w:val="18"/>
            <w:lang w:val="en-US" w:eastAsia="en-NZ"/>
          </w:rPr>
          <w:t>www.fan.org.nz</w:t>
        </w:r>
      </w:hyperlink>
      <w:r>
        <w:rPr>
          <w:color w:val="A13F00"/>
          <w:sz w:val="20"/>
          <w:szCs w:val="20"/>
          <w:lang w:eastAsia="en-NZ"/>
        </w:rPr>
        <w:t xml:space="preserve"> </w:t>
      </w:r>
    </w:p>
    <w:p w:rsidR="00D342E9" w:rsidRDefault="00D342E9" w:rsidP="00D342E9">
      <w:pPr>
        <w:spacing w:line="252" w:lineRule="auto"/>
        <w:rPr>
          <w:color w:val="A13F00"/>
          <w:sz w:val="20"/>
          <w:szCs w:val="20"/>
          <w:lang w:val="en-US" w:eastAsia="en-NZ"/>
        </w:rPr>
      </w:pPr>
    </w:p>
    <w:p w:rsidR="00D342E9" w:rsidRDefault="00D342E9" w:rsidP="00D342E9">
      <w:pPr>
        <w:spacing w:line="252" w:lineRule="auto"/>
        <w:rPr>
          <w:color w:val="5F497A"/>
          <w:sz w:val="16"/>
          <w:szCs w:val="16"/>
          <w:lang w:val="en-US" w:eastAsia="en-NZ"/>
        </w:rPr>
      </w:pPr>
      <w:r>
        <w:rPr>
          <w:noProof/>
          <w:lang w:eastAsia="en-NZ"/>
        </w:rPr>
        <w:drawing>
          <wp:inline distT="0" distB="0" distL="0" distR="0">
            <wp:extent cx="2613660" cy="563880"/>
            <wp:effectExtent l="0" t="0" r="0" b="0"/>
            <wp:docPr id="1" name="Picture 1" descr="cid:image004.jpg@01D0CB6C.AE404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0CB6C.AE404B2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613660" cy="563880"/>
                    </a:xfrm>
                    <a:prstGeom prst="rect">
                      <a:avLst/>
                    </a:prstGeom>
                    <a:noFill/>
                    <a:ln>
                      <a:noFill/>
                    </a:ln>
                  </pic:spPr>
                </pic:pic>
              </a:graphicData>
            </a:graphic>
          </wp:inline>
        </w:drawing>
      </w:r>
    </w:p>
    <w:p w:rsidR="00D342E9" w:rsidRDefault="00D342E9" w:rsidP="00D342E9">
      <w:pPr>
        <w:spacing w:line="252" w:lineRule="auto"/>
        <w:rPr>
          <w:color w:val="5F497A"/>
          <w:sz w:val="16"/>
          <w:szCs w:val="16"/>
          <w:lang w:val="en-US" w:eastAsia="en-NZ"/>
        </w:rPr>
      </w:pPr>
    </w:p>
    <w:p w:rsidR="002A1AE1" w:rsidRDefault="00D342E9">
      <w:bookmarkStart w:id="0" w:name="_GoBack"/>
      <w:bookmarkEnd w:id="0"/>
    </w:p>
    <w:sectPr w:rsidR="002A1AE1" w:rsidSect="003A523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E9"/>
    <w:rsid w:val="00165C38"/>
    <w:rsid w:val="003A5233"/>
    <w:rsid w:val="004E5AAB"/>
    <w:rsid w:val="0052106E"/>
    <w:rsid w:val="0080633B"/>
    <w:rsid w:val="00842D32"/>
    <w:rsid w:val="00846C65"/>
    <w:rsid w:val="00AD2781"/>
    <w:rsid w:val="00BF132C"/>
    <w:rsid w:val="00D342E9"/>
    <w:rsid w:val="00F01EFB"/>
    <w:rsid w:val="00F3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F68C0-E2AD-4BDC-A192-795606DD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2E9"/>
    <w:pPr>
      <w:spacing w:after="0"/>
    </w:pPr>
    <w:rPr>
      <w:rFonts w:ascii="Calibri" w:hAnsi="Calibri" w:cs="Times New Roman"/>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42E9"/>
    <w:rPr>
      <w:color w:val="0563C1"/>
      <w:u w:val="single"/>
    </w:rPr>
  </w:style>
  <w:style w:type="character" w:customStyle="1" w:styleId="apple-converted-space">
    <w:name w:val="apple-converted-space"/>
    <w:basedOn w:val="DefaultParagraphFont"/>
    <w:rsid w:val="00D34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87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2352552516000086" TargetMode="External"/><Relationship Id="rId13" Type="http://schemas.openxmlformats.org/officeDocument/2006/relationships/hyperlink" Target="http://www.fan.org.nz/" TargetMode="External"/><Relationship Id="rId3" Type="http://schemas.openxmlformats.org/officeDocument/2006/relationships/webSettings" Target="webSettings.xml"/><Relationship Id="rId7" Type="http://schemas.openxmlformats.org/officeDocument/2006/relationships/hyperlink" Target="https://www.churchilltrust.com.au/media/fellows/Crawford_C_2014_Youth_affected_by_fetal_alcohol_spectrum_in_criminal_justice_system_2.pdf" TargetMode="External"/><Relationship Id="rId12" Type="http://schemas.openxmlformats.org/officeDocument/2006/relationships/hyperlink" Target="http://www.ahw.org.nz/"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jptcp.com/pubmed.php?articleId=530" TargetMode="External"/><Relationship Id="rId11" Type="http://schemas.openxmlformats.org/officeDocument/2006/relationships/hyperlink" Target="mailto:christine@ahw.org.nz" TargetMode="External"/><Relationship Id="rId5" Type="http://schemas.openxmlformats.org/officeDocument/2006/relationships/hyperlink" Target="http://jghcs.info/index.php/l/article/view/463/401" TargetMode="External"/><Relationship Id="rId15" Type="http://schemas.openxmlformats.org/officeDocument/2006/relationships/image" Target="cid:image004.jpg@01D18B6A.7A969C20" TargetMode="External"/><Relationship Id="rId10" Type="http://schemas.openxmlformats.org/officeDocument/2006/relationships/image" Target="media/image1.png"/><Relationship Id="rId4" Type="http://schemas.openxmlformats.org/officeDocument/2006/relationships/hyperlink" Target="http://www.paullittlebooks.co.nz" TargetMode="External"/><Relationship Id="rId9" Type="http://schemas.openxmlformats.org/officeDocument/2006/relationships/hyperlink" Target="http://www.jptcp.com/pubmed.php?articleId=531"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Lopes</dc:creator>
  <cp:keywords/>
  <dc:description/>
  <cp:lastModifiedBy>Suzanne Lopes</cp:lastModifiedBy>
  <cp:revision>1</cp:revision>
  <dcterms:created xsi:type="dcterms:W3CDTF">2016-03-31T20:01:00Z</dcterms:created>
  <dcterms:modified xsi:type="dcterms:W3CDTF">2016-03-31T20:04:00Z</dcterms:modified>
</cp:coreProperties>
</file>