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0F" w:rsidRPr="009D470F" w:rsidRDefault="009D470F" w:rsidP="009D470F">
      <w:pPr>
        <w:pStyle w:val="Heading5"/>
        <w:jc w:val="center"/>
        <w:rPr>
          <w:b/>
        </w:rPr>
      </w:pPr>
      <w:r w:rsidRPr="009D470F">
        <w:rPr>
          <w:b/>
          <w:noProof/>
          <w:lang w:val="en-US"/>
        </w:rPr>
        <w:drawing>
          <wp:anchor distT="36576" distB="36576" distL="36576" distR="36576" simplePos="0" relativeHeight="251661312" behindDoc="0" locked="0" layoutInCell="1" allowOverlap="1">
            <wp:simplePos x="0" y="0"/>
            <wp:positionH relativeFrom="column">
              <wp:posOffset>7820025</wp:posOffset>
            </wp:positionH>
            <wp:positionV relativeFrom="paragraph">
              <wp:posOffset>85725</wp:posOffset>
            </wp:positionV>
            <wp:extent cx="2009775" cy="581025"/>
            <wp:effectExtent l="0" t="0" r="0" b="0"/>
            <wp:wrapNone/>
            <wp:docPr id="4" name="Picture 3" descr="AHW LOGO from LaserTyp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W LOGO from LaserType 30"/>
                    <pic:cNvPicPr>
                      <a:picLocks noChangeAspect="1" noChangeArrowheads="1"/>
                    </pic:cNvPicPr>
                  </pic:nvPicPr>
                  <pic:blipFill>
                    <a:blip r:embed="rId4" cstate="print">
                      <a:clrChange>
                        <a:clrFrom>
                          <a:srgbClr val="FFFDFC"/>
                        </a:clrFrom>
                        <a:clrTo>
                          <a:srgbClr val="FFFDFC">
                            <a:alpha val="0"/>
                          </a:srgbClr>
                        </a:clrTo>
                      </a:clrChange>
                    </a:blip>
                    <a:srcRect/>
                    <a:stretch>
                      <a:fillRect/>
                    </a:stretch>
                  </pic:blipFill>
                  <pic:spPr bwMode="auto">
                    <a:xfrm>
                      <a:off x="0" y="0"/>
                      <a:ext cx="2009775" cy="581025"/>
                    </a:xfrm>
                    <a:prstGeom prst="rect">
                      <a:avLst/>
                    </a:prstGeom>
                    <a:noFill/>
                    <a:ln w="9525" algn="in">
                      <a:noFill/>
                      <a:miter lim="800000"/>
                      <a:headEnd/>
                      <a:tailEnd/>
                    </a:ln>
                    <a:effectLst/>
                  </pic:spPr>
                </pic:pic>
              </a:graphicData>
            </a:graphic>
          </wp:anchor>
        </w:drawing>
      </w:r>
      <w:r w:rsidRPr="009D470F">
        <w:rPr>
          <w:b/>
          <w:noProof/>
          <w:lang w:val="en-US"/>
        </w:rPr>
        <w:drawing>
          <wp:anchor distT="36576" distB="36576" distL="36576" distR="36576" simplePos="0" relativeHeight="251659264" behindDoc="0" locked="0" layoutInCell="1" allowOverlap="1">
            <wp:simplePos x="0" y="0"/>
            <wp:positionH relativeFrom="column">
              <wp:posOffset>-28575</wp:posOffset>
            </wp:positionH>
            <wp:positionV relativeFrom="paragraph">
              <wp:posOffset>85725</wp:posOffset>
            </wp:positionV>
            <wp:extent cx="1819275" cy="4857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9275" cy="485775"/>
                    </a:xfrm>
                    <a:prstGeom prst="rect">
                      <a:avLst/>
                    </a:prstGeom>
                    <a:noFill/>
                    <a:ln w="9525" algn="in">
                      <a:noFill/>
                      <a:miter lim="800000"/>
                      <a:headEnd/>
                      <a:tailEnd/>
                    </a:ln>
                    <a:effectLst/>
                  </pic:spPr>
                </pic:pic>
              </a:graphicData>
            </a:graphic>
          </wp:anchor>
        </w:drawing>
      </w:r>
      <w:r w:rsidRPr="009D470F">
        <w:rPr>
          <w:b/>
        </w:rPr>
        <w:t>One Year On – Sale and Supply of Alcohol Act 2012</w:t>
      </w:r>
      <w:bookmarkStart w:id="0" w:name="_GoBack"/>
      <w:bookmarkEnd w:id="0"/>
    </w:p>
    <w:p w:rsidR="009D470F" w:rsidRPr="009D470F" w:rsidRDefault="009D470F" w:rsidP="009D470F">
      <w:pPr>
        <w:pStyle w:val="BodyText"/>
        <w:jc w:val="center"/>
        <w:rPr>
          <w:b/>
          <w:color w:val="4F81BD" w:themeColor="accent1"/>
          <w:sz w:val="24"/>
        </w:rPr>
      </w:pPr>
      <w:r w:rsidRPr="009D470F">
        <w:rPr>
          <w:b/>
          <w:color w:val="4F81BD" w:themeColor="accent1"/>
          <w:sz w:val="24"/>
        </w:rPr>
        <w:t>Draft Programme for Auckland, Christchurch and Wellington Forums</w:t>
      </w:r>
    </w:p>
    <w:p w:rsidR="009D470F" w:rsidRPr="009D470F" w:rsidRDefault="009D470F" w:rsidP="009D470F">
      <w:pPr>
        <w:pStyle w:val="BodyText"/>
        <w:jc w:val="center"/>
        <w:rPr>
          <w:b/>
          <w:color w:val="4F81BD" w:themeColor="accent1"/>
          <w:sz w:val="24"/>
        </w:rPr>
      </w:pPr>
    </w:p>
    <w:tbl>
      <w:tblPr>
        <w:tblStyle w:val="TableGrid"/>
        <w:tblW w:w="0" w:type="auto"/>
        <w:tblLook w:val="04A0"/>
      </w:tblPr>
      <w:tblGrid>
        <w:gridCol w:w="1951"/>
        <w:gridCol w:w="7796"/>
        <w:gridCol w:w="5867"/>
      </w:tblGrid>
      <w:tr w:rsidR="009D470F" w:rsidTr="009D470F">
        <w:tc>
          <w:tcPr>
            <w:tcW w:w="1951" w:type="dxa"/>
          </w:tcPr>
          <w:p w:rsidR="009D470F" w:rsidRDefault="009D470F">
            <w:pPr>
              <w:rPr>
                <w:b/>
              </w:rPr>
            </w:pPr>
            <w:r w:rsidRPr="009D470F">
              <w:rPr>
                <w:b/>
              </w:rPr>
              <w:t xml:space="preserve">Time </w:t>
            </w:r>
          </w:p>
          <w:p w:rsidR="009D470F" w:rsidRPr="009D470F" w:rsidRDefault="009D470F">
            <w:pPr>
              <w:rPr>
                <w:b/>
              </w:rPr>
            </w:pPr>
          </w:p>
        </w:tc>
        <w:tc>
          <w:tcPr>
            <w:tcW w:w="7796" w:type="dxa"/>
          </w:tcPr>
          <w:p w:rsidR="009D470F" w:rsidRPr="009D470F" w:rsidRDefault="009D470F">
            <w:pPr>
              <w:rPr>
                <w:b/>
              </w:rPr>
            </w:pPr>
            <w:r w:rsidRPr="009D470F">
              <w:rPr>
                <w:b/>
              </w:rPr>
              <w:t>Session</w:t>
            </w:r>
          </w:p>
        </w:tc>
        <w:tc>
          <w:tcPr>
            <w:tcW w:w="5867" w:type="dxa"/>
          </w:tcPr>
          <w:p w:rsidR="009D470F" w:rsidRPr="009D470F" w:rsidRDefault="009D470F">
            <w:pPr>
              <w:rPr>
                <w:b/>
              </w:rPr>
            </w:pPr>
            <w:r w:rsidRPr="009D470F">
              <w:rPr>
                <w:b/>
              </w:rPr>
              <w:t>Description</w:t>
            </w:r>
          </w:p>
        </w:tc>
      </w:tr>
      <w:tr w:rsidR="009D470F" w:rsidTr="009D470F">
        <w:tc>
          <w:tcPr>
            <w:tcW w:w="1951" w:type="dxa"/>
          </w:tcPr>
          <w:p w:rsidR="009D470F" w:rsidRDefault="009D470F">
            <w:r>
              <w:t>9.00am</w:t>
            </w:r>
          </w:p>
        </w:tc>
        <w:tc>
          <w:tcPr>
            <w:tcW w:w="7796" w:type="dxa"/>
          </w:tcPr>
          <w:p w:rsidR="009D470F" w:rsidRDefault="009D470F">
            <w:r>
              <w:t>Registrations open/Tea &amp; Coffee</w:t>
            </w:r>
          </w:p>
          <w:p w:rsidR="009D470F" w:rsidRDefault="009D470F"/>
        </w:tc>
        <w:tc>
          <w:tcPr>
            <w:tcW w:w="5867" w:type="dxa"/>
          </w:tcPr>
          <w:p w:rsidR="009D470F" w:rsidRDefault="009D470F"/>
        </w:tc>
      </w:tr>
      <w:tr w:rsidR="009D470F" w:rsidTr="009D470F">
        <w:tc>
          <w:tcPr>
            <w:tcW w:w="1951" w:type="dxa"/>
          </w:tcPr>
          <w:p w:rsidR="009D470F" w:rsidRDefault="009D470F">
            <w:r>
              <w:t>9.30am</w:t>
            </w:r>
          </w:p>
        </w:tc>
        <w:tc>
          <w:tcPr>
            <w:tcW w:w="7796" w:type="dxa"/>
          </w:tcPr>
          <w:p w:rsidR="009D470F" w:rsidRDefault="009D470F">
            <w:r>
              <w:t>Welcome/Scene setting</w:t>
            </w:r>
          </w:p>
          <w:p w:rsidR="009D470F" w:rsidRDefault="009D470F"/>
        </w:tc>
        <w:tc>
          <w:tcPr>
            <w:tcW w:w="5867" w:type="dxa"/>
          </w:tcPr>
          <w:p w:rsidR="009D470F" w:rsidRDefault="009D470F"/>
        </w:tc>
      </w:tr>
      <w:tr w:rsidR="009D470F" w:rsidTr="009D470F">
        <w:tc>
          <w:tcPr>
            <w:tcW w:w="1951" w:type="dxa"/>
          </w:tcPr>
          <w:p w:rsidR="009D470F" w:rsidRDefault="009D470F">
            <w:r>
              <w:t>9.45am</w:t>
            </w:r>
          </w:p>
        </w:tc>
        <w:tc>
          <w:tcPr>
            <w:tcW w:w="7796" w:type="dxa"/>
          </w:tcPr>
          <w:p w:rsidR="009D470F" w:rsidRPr="009D470F" w:rsidRDefault="009D470F">
            <w:pPr>
              <w:rPr>
                <w:b/>
              </w:rPr>
            </w:pPr>
            <w:r w:rsidRPr="009D470F">
              <w:rPr>
                <w:b/>
              </w:rPr>
              <w:t>Regional Presentations – What’s working, challenges with implementation of the Act?</w:t>
            </w:r>
          </w:p>
        </w:tc>
        <w:tc>
          <w:tcPr>
            <w:tcW w:w="5867" w:type="dxa"/>
          </w:tcPr>
          <w:p w:rsidR="009D470F" w:rsidRDefault="009D470F">
            <w:r w:rsidRPr="0057660A">
              <w:t>Short presentations from different perspectives - Licensing Inspector, Police, Medical Officer of Health, DLC member and a community representative.</w:t>
            </w:r>
          </w:p>
        </w:tc>
      </w:tr>
      <w:tr w:rsidR="009D470F" w:rsidTr="009D470F">
        <w:tc>
          <w:tcPr>
            <w:tcW w:w="1951" w:type="dxa"/>
          </w:tcPr>
          <w:p w:rsidR="009D470F" w:rsidRDefault="009D470F">
            <w:r>
              <w:t>11.00am</w:t>
            </w:r>
          </w:p>
        </w:tc>
        <w:tc>
          <w:tcPr>
            <w:tcW w:w="7796" w:type="dxa"/>
          </w:tcPr>
          <w:p w:rsidR="009D470F" w:rsidRDefault="009D470F">
            <w:r>
              <w:t>Break</w:t>
            </w:r>
          </w:p>
          <w:p w:rsidR="009D470F" w:rsidRDefault="009D470F"/>
        </w:tc>
        <w:tc>
          <w:tcPr>
            <w:tcW w:w="5867" w:type="dxa"/>
          </w:tcPr>
          <w:p w:rsidR="009D470F" w:rsidRDefault="009D470F"/>
        </w:tc>
      </w:tr>
      <w:tr w:rsidR="009D470F" w:rsidTr="009D470F">
        <w:tc>
          <w:tcPr>
            <w:tcW w:w="1951" w:type="dxa"/>
          </w:tcPr>
          <w:p w:rsidR="009D470F" w:rsidRDefault="009D470F">
            <w:r>
              <w:t>11.30am</w:t>
            </w:r>
          </w:p>
        </w:tc>
        <w:tc>
          <w:tcPr>
            <w:tcW w:w="7796" w:type="dxa"/>
          </w:tcPr>
          <w:p w:rsidR="009D470F" w:rsidRDefault="009D470F">
            <w:r w:rsidRPr="0057660A">
              <w:rPr>
                <w:b/>
              </w:rPr>
              <w:t>Workshop – further the discussion about implementation of the Act - what’s working, challenges and what’s needed to address any issues/support their work?</w:t>
            </w:r>
          </w:p>
        </w:tc>
        <w:tc>
          <w:tcPr>
            <w:tcW w:w="5867" w:type="dxa"/>
          </w:tcPr>
          <w:p w:rsidR="009D470F" w:rsidRDefault="009D470F"/>
        </w:tc>
      </w:tr>
      <w:tr w:rsidR="009D470F" w:rsidTr="009D470F">
        <w:tc>
          <w:tcPr>
            <w:tcW w:w="1951" w:type="dxa"/>
          </w:tcPr>
          <w:p w:rsidR="009D470F" w:rsidRDefault="009D470F">
            <w:r>
              <w:t>12.45pm</w:t>
            </w:r>
          </w:p>
        </w:tc>
        <w:tc>
          <w:tcPr>
            <w:tcW w:w="7796" w:type="dxa"/>
          </w:tcPr>
          <w:p w:rsidR="009D470F" w:rsidRDefault="009D470F">
            <w:r>
              <w:t>Lunch</w:t>
            </w:r>
          </w:p>
          <w:p w:rsidR="009D470F" w:rsidRDefault="009D470F"/>
        </w:tc>
        <w:tc>
          <w:tcPr>
            <w:tcW w:w="5867" w:type="dxa"/>
          </w:tcPr>
          <w:p w:rsidR="009D470F" w:rsidRDefault="009D470F"/>
        </w:tc>
      </w:tr>
      <w:tr w:rsidR="009D470F" w:rsidTr="009D470F">
        <w:tc>
          <w:tcPr>
            <w:tcW w:w="1951" w:type="dxa"/>
          </w:tcPr>
          <w:p w:rsidR="009D470F" w:rsidRDefault="009D470F">
            <w:r>
              <w:t>1.45pm</w:t>
            </w:r>
          </w:p>
        </w:tc>
        <w:tc>
          <w:tcPr>
            <w:tcW w:w="7796" w:type="dxa"/>
          </w:tcPr>
          <w:p w:rsidR="009D470F" w:rsidRDefault="009D470F">
            <w:r w:rsidRPr="0057660A">
              <w:rPr>
                <w:b/>
              </w:rPr>
              <w:t>Local Alcohol Policies – what have we learned so far?</w:t>
            </w:r>
          </w:p>
        </w:tc>
        <w:tc>
          <w:tcPr>
            <w:tcW w:w="5867" w:type="dxa"/>
          </w:tcPr>
          <w:p w:rsidR="009D470F" w:rsidRDefault="009D470F">
            <w:r w:rsidRPr="0057660A">
              <w:t>Presentations from representatives of agencies that have had experience with the LAP development process; including from Tasman District Council, the first Council to have their Provisional LAP appeal heard before ARLA.</w:t>
            </w:r>
          </w:p>
        </w:tc>
      </w:tr>
      <w:tr w:rsidR="009D470F" w:rsidTr="009D470F">
        <w:tc>
          <w:tcPr>
            <w:tcW w:w="1951" w:type="dxa"/>
          </w:tcPr>
          <w:p w:rsidR="009D470F" w:rsidRDefault="009D470F">
            <w:r>
              <w:t>2.30pm</w:t>
            </w:r>
          </w:p>
        </w:tc>
        <w:tc>
          <w:tcPr>
            <w:tcW w:w="7796" w:type="dxa"/>
          </w:tcPr>
          <w:p w:rsidR="009D470F" w:rsidRPr="0057660A" w:rsidRDefault="009D470F">
            <w:pPr>
              <w:rPr>
                <w:b/>
              </w:rPr>
            </w:pPr>
            <w:r w:rsidRPr="0057660A">
              <w:rPr>
                <w:b/>
              </w:rPr>
              <w:t>The Alcohol Regulatory Licensing Authority’s (ARLA’s) view of the first year – what have we learned?</w:t>
            </w:r>
          </w:p>
        </w:tc>
        <w:tc>
          <w:tcPr>
            <w:tcW w:w="5867" w:type="dxa"/>
          </w:tcPr>
          <w:p w:rsidR="009D470F" w:rsidRPr="0057660A" w:rsidRDefault="009D470F">
            <w:r w:rsidRPr="0057660A">
              <w:t>Judith Moorhead (ARLA Member) will share some insights from ARLA’s perspective and provide some guidance around their expectations of the sector.</w:t>
            </w:r>
          </w:p>
        </w:tc>
      </w:tr>
      <w:tr w:rsidR="009D470F" w:rsidTr="009D470F">
        <w:tc>
          <w:tcPr>
            <w:tcW w:w="1951" w:type="dxa"/>
          </w:tcPr>
          <w:p w:rsidR="009D470F" w:rsidRDefault="009D470F">
            <w:r>
              <w:t>3.15pm</w:t>
            </w:r>
          </w:p>
        </w:tc>
        <w:tc>
          <w:tcPr>
            <w:tcW w:w="7796" w:type="dxa"/>
          </w:tcPr>
          <w:p w:rsidR="009D470F" w:rsidRPr="0057660A" w:rsidRDefault="009D470F">
            <w:pPr>
              <w:rPr>
                <w:b/>
              </w:rPr>
            </w:pPr>
            <w:r w:rsidRPr="0057660A">
              <w:rPr>
                <w:b/>
              </w:rPr>
              <w:t>Panel – Q and A Session</w:t>
            </w:r>
          </w:p>
        </w:tc>
        <w:tc>
          <w:tcPr>
            <w:tcW w:w="5867" w:type="dxa"/>
          </w:tcPr>
          <w:p w:rsidR="009D470F" w:rsidRPr="0057660A" w:rsidRDefault="009D470F">
            <w:r w:rsidRPr="0057660A">
              <w:t>The panel will consist of representatives from national and regional agencies who can answer questions about practical aspects of implementing the Act and speak about the relevant work they are doing.</w:t>
            </w:r>
          </w:p>
        </w:tc>
      </w:tr>
      <w:tr w:rsidR="009D470F" w:rsidTr="009D470F">
        <w:tc>
          <w:tcPr>
            <w:tcW w:w="1951" w:type="dxa"/>
          </w:tcPr>
          <w:p w:rsidR="009D470F" w:rsidRDefault="009D470F">
            <w:r>
              <w:t>4.00pm</w:t>
            </w:r>
          </w:p>
          <w:p w:rsidR="009D470F" w:rsidRDefault="009D470F"/>
        </w:tc>
        <w:tc>
          <w:tcPr>
            <w:tcW w:w="7796" w:type="dxa"/>
          </w:tcPr>
          <w:p w:rsidR="009D470F" w:rsidRPr="0057660A" w:rsidRDefault="009D470F">
            <w:pPr>
              <w:rPr>
                <w:b/>
              </w:rPr>
            </w:pPr>
            <w:r w:rsidRPr="00B831C7">
              <w:t>Wrap up/Close</w:t>
            </w:r>
          </w:p>
        </w:tc>
        <w:tc>
          <w:tcPr>
            <w:tcW w:w="5867" w:type="dxa"/>
          </w:tcPr>
          <w:p w:rsidR="009D470F" w:rsidRPr="0057660A" w:rsidRDefault="009D470F"/>
        </w:tc>
      </w:tr>
    </w:tbl>
    <w:p w:rsidR="00C10925" w:rsidRDefault="009C275F"/>
    <w:sectPr w:rsidR="00C10925" w:rsidSect="009D470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470F"/>
    <w:rsid w:val="0012352B"/>
    <w:rsid w:val="001A5AA0"/>
    <w:rsid w:val="005A6C95"/>
    <w:rsid w:val="009C275F"/>
    <w:rsid w:val="009D470F"/>
    <w:rsid w:val="00E94DF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9D470F"/>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9D47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aliases w:val="Head 2"/>
    <w:basedOn w:val="Heading2"/>
    <w:next w:val="BodyText"/>
    <w:link w:val="Heading5Char"/>
    <w:uiPriority w:val="5"/>
    <w:qFormat/>
    <w:rsid w:val="009D470F"/>
    <w:pPr>
      <w:spacing w:before="360" w:after="240" w:line="320" w:lineRule="atLeast"/>
      <w:outlineLvl w:val="4"/>
    </w:pPr>
    <w:rPr>
      <w:rFonts w:ascii="Arial" w:hAnsi="Arial"/>
      <w:b w:val="0"/>
      <w:cap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 2 Char"/>
    <w:basedOn w:val="DefaultParagraphFont"/>
    <w:link w:val="Heading5"/>
    <w:uiPriority w:val="5"/>
    <w:rsid w:val="009D470F"/>
    <w:rPr>
      <w:rFonts w:ascii="Arial" w:eastAsiaTheme="majorEastAsia" w:hAnsi="Arial" w:cstheme="majorBidi"/>
      <w:bCs/>
      <w:caps/>
      <w:sz w:val="28"/>
      <w:szCs w:val="26"/>
    </w:rPr>
  </w:style>
  <w:style w:type="paragraph" w:styleId="BodyText">
    <w:name w:val="Body Text"/>
    <w:basedOn w:val="Normal"/>
    <w:link w:val="BodyTextChar"/>
    <w:qFormat/>
    <w:rsid w:val="009D470F"/>
    <w:pPr>
      <w:spacing w:after="240" w:line="320" w:lineRule="atLeast"/>
    </w:pPr>
  </w:style>
  <w:style w:type="character" w:customStyle="1" w:styleId="BodyTextChar">
    <w:name w:val="Body Text Char"/>
    <w:basedOn w:val="DefaultParagraphFont"/>
    <w:link w:val="BodyText"/>
    <w:rsid w:val="009D470F"/>
    <w:rPr>
      <w:rFonts w:ascii="Arial" w:hAnsi="Arial"/>
    </w:rPr>
  </w:style>
  <w:style w:type="table" w:styleId="TableGrid">
    <w:name w:val="Table Grid"/>
    <w:basedOn w:val="TableNormal"/>
    <w:uiPriority w:val="59"/>
    <w:rsid w:val="009D4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D47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Company>Hewlett-Packard Company</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AHW</dc:creator>
  <cp:lastModifiedBy> </cp:lastModifiedBy>
  <cp:revision>2</cp:revision>
  <dcterms:created xsi:type="dcterms:W3CDTF">2015-02-03T18:40:00Z</dcterms:created>
  <dcterms:modified xsi:type="dcterms:W3CDTF">2015-02-03T18:40:00Z</dcterms:modified>
</cp:coreProperties>
</file>